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3F343A" w14:textId="5488B4EE" w:rsidR="002D2A6E" w:rsidRPr="00BC36AE" w:rsidRDefault="002D2A6E" w:rsidP="002D2A6E">
      <w:pPr>
        <w:pStyle w:val="CRCoverPage"/>
        <w:tabs>
          <w:tab w:val="right" w:pos="9639"/>
        </w:tabs>
        <w:rPr>
          <w:rFonts w:cs="Arial"/>
          <w:b/>
          <w:noProof/>
          <w:sz w:val="24"/>
          <w:lang w:eastAsia="zh-CN"/>
        </w:rPr>
      </w:pPr>
      <w:bookmarkStart w:id="0" w:name="_Toc193024528"/>
      <w:r w:rsidRPr="000246EA">
        <w:rPr>
          <w:rFonts w:cs="Arial"/>
          <w:b/>
          <w:noProof/>
          <w:sz w:val="24"/>
          <w:lang w:eastAsia="zh-CN"/>
        </w:rPr>
        <w:t>3GPP TSG-RAN WG</w:t>
      </w:r>
      <w:r w:rsidR="006D6021">
        <w:rPr>
          <w:rFonts w:cs="Arial"/>
          <w:b/>
          <w:noProof/>
          <w:sz w:val="24"/>
          <w:lang w:eastAsia="zh-CN"/>
        </w:rPr>
        <w:t>1</w:t>
      </w:r>
      <w:r w:rsidRPr="000246EA">
        <w:rPr>
          <w:rFonts w:cs="Arial"/>
          <w:b/>
          <w:noProof/>
          <w:sz w:val="24"/>
          <w:lang w:eastAsia="zh-CN"/>
        </w:rPr>
        <w:t xml:space="preserve"> Meeting #</w:t>
      </w:r>
      <w:r>
        <w:rPr>
          <w:rFonts w:cs="Arial"/>
          <w:b/>
          <w:noProof/>
          <w:sz w:val="24"/>
          <w:lang w:eastAsia="zh-CN"/>
        </w:rPr>
        <w:t>1</w:t>
      </w:r>
      <w:r w:rsidR="006D6021">
        <w:rPr>
          <w:rFonts w:cs="Arial"/>
          <w:b/>
          <w:noProof/>
          <w:sz w:val="24"/>
          <w:lang w:eastAsia="zh-CN"/>
        </w:rPr>
        <w:t>12</w:t>
      </w:r>
      <w:r w:rsidRPr="000246EA">
        <w:rPr>
          <w:rFonts w:cs="Arial"/>
          <w:b/>
          <w:noProof/>
          <w:sz w:val="24"/>
          <w:lang w:eastAsia="zh-CN"/>
        </w:rPr>
        <w:tab/>
      </w:r>
      <w:r w:rsidR="006D6021" w:rsidRPr="006D6021">
        <w:rPr>
          <w:rFonts w:cs="Arial"/>
          <w:b/>
          <w:noProof/>
          <w:sz w:val="24"/>
          <w:lang w:eastAsia="zh-CN"/>
        </w:rPr>
        <w:t>R1-2301134</w:t>
      </w:r>
    </w:p>
    <w:p w14:paraId="50C378F3" w14:textId="77777777" w:rsidR="002D2A6E" w:rsidRPr="000246EA" w:rsidRDefault="002D2A6E" w:rsidP="002D2A6E">
      <w:pPr>
        <w:pStyle w:val="CRCoverPage"/>
        <w:tabs>
          <w:tab w:val="right" w:pos="9639"/>
        </w:tabs>
        <w:rPr>
          <w:rFonts w:cs="Arial"/>
          <w:b/>
          <w:noProof/>
          <w:sz w:val="24"/>
          <w:lang w:eastAsia="zh-CN"/>
        </w:rPr>
      </w:pPr>
      <w:r>
        <w:rPr>
          <w:rFonts w:cs="Arial"/>
          <w:b/>
          <w:noProof/>
          <w:sz w:val="24"/>
          <w:lang w:eastAsia="zh-CN"/>
        </w:rPr>
        <w:t>Athens, Greece, 27 February – 03 March 2023</w:t>
      </w:r>
      <w:r>
        <w:rPr>
          <w:b/>
          <w:sz w:val="24"/>
          <w:szCs w:val="24"/>
          <w:lang w:eastAsia="zh-CN"/>
        </w:rPr>
        <w:tab/>
      </w:r>
    </w:p>
    <w:p w14:paraId="7603E0FC" w14:textId="77777777" w:rsidR="002D2A6E" w:rsidRPr="000246EA" w:rsidRDefault="002D2A6E" w:rsidP="002D2A6E">
      <w:pPr>
        <w:pStyle w:val="Footer"/>
        <w:ind w:rightChars="-212" w:right="-424"/>
        <w:jc w:val="both"/>
        <w:rPr>
          <w:rFonts w:ascii="Times New Roman" w:eastAsia="SimSun" w:hAnsi="Times New Roman"/>
          <w:b w:val="0"/>
          <w:i w:val="0"/>
          <w:noProof w:val="0"/>
          <w:sz w:val="24"/>
          <w:lang w:eastAsia="zh-CN"/>
        </w:rPr>
      </w:pPr>
    </w:p>
    <w:p w14:paraId="0DDB142B" w14:textId="77777777" w:rsidR="002D2A6E" w:rsidRPr="00E45C27" w:rsidRDefault="002D2A6E" w:rsidP="002D2A6E">
      <w:pPr>
        <w:rPr>
          <w:rFonts w:ascii="Arial" w:hAnsi="Arial" w:cs="Arial"/>
          <w:b/>
          <w:sz w:val="22"/>
        </w:rPr>
      </w:pPr>
      <w:r w:rsidRPr="00E45C27">
        <w:rPr>
          <w:rFonts w:ascii="Arial" w:hAnsi="Arial" w:cs="Arial"/>
          <w:b/>
          <w:sz w:val="22"/>
        </w:rPr>
        <w:t xml:space="preserve">Source: </w:t>
      </w:r>
      <w:r>
        <w:rPr>
          <w:rFonts w:ascii="Arial" w:hAnsi="Arial" w:cs="Arial"/>
          <w:b/>
          <w:sz w:val="22"/>
        </w:rPr>
        <w:tab/>
      </w:r>
      <w:r>
        <w:rPr>
          <w:rFonts w:ascii="Arial" w:hAnsi="Arial" w:cs="Arial"/>
          <w:b/>
          <w:sz w:val="22"/>
        </w:rPr>
        <w:tab/>
        <w:t>Vodafone</w:t>
      </w:r>
    </w:p>
    <w:p w14:paraId="28A16966" w14:textId="77777777" w:rsidR="002D2A6E" w:rsidRPr="00AC6F32" w:rsidRDefault="002D2A6E" w:rsidP="002D2A6E">
      <w:pPr>
        <w:rPr>
          <w:rFonts w:ascii="Arial" w:hAnsi="Arial" w:cs="Arial"/>
          <w:b/>
          <w:sz w:val="22"/>
          <w:lang w:val="en-US"/>
        </w:rPr>
      </w:pPr>
      <w:r w:rsidRPr="00E45C27">
        <w:rPr>
          <w:rFonts w:ascii="Arial" w:hAnsi="Arial" w:cs="Arial"/>
          <w:b/>
          <w:sz w:val="22"/>
        </w:rPr>
        <w:t xml:space="preserve">Title: </w:t>
      </w:r>
      <w:r>
        <w:rPr>
          <w:rFonts w:ascii="Arial" w:hAnsi="Arial" w:cs="Arial"/>
          <w:b/>
          <w:sz w:val="22"/>
        </w:rPr>
        <w:tab/>
      </w:r>
      <w:r>
        <w:rPr>
          <w:rFonts w:ascii="Arial" w:hAnsi="Arial" w:cs="Arial"/>
          <w:b/>
          <w:sz w:val="22"/>
        </w:rPr>
        <w:tab/>
      </w:r>
      <w:r>
        <w:rPr>
          <w:rFonts w:ascii="Arial" w:hAnsi="Arial" w:cs="Arial"/>
          <w:b/>
          <w:sz w:val="22"/>
        </w:rPr>
        <w:tab/>
        <w:t>Discussion on communication via satellite to unmodified UEs</w:t>
      </w:r>
    </w:p>
    <w:p w14:paraId="5355353C" w14:textId="77777777" w:rsidR="002D2A6E" w:rsidRPr="00E45C27" w:rsidRDefault="002D2A6E" w:rsidP="002D2A6E">
      <w:pPr>
        <w:rPr>
          <w:rFonts w:ascii="Arial" w:hAnsi="Arial" w:cs="Arial"/>
          <w:b/>
          <w:sz w:val="22"/>
        </w:rPr>
      </w:pPr>
      <w:r w:rsidRPr="00E45C27">
        <w:rPr>
          <w:rFonts w:ascii="Arial" w:hAnsi="Arial" w:cs="Arial"/>
          <w:b/>
          <w:sz w:val="22"/>
        </w:rPr>
        <w:t xml:space="preserve">Document for: </w:t>
      </w:r>
      <w:r>
        <w:rPr>
          <w:rFonts w:ascii="Arial" w:hAnsi="Arial" w:cs="Arial"/>
          <w:b/>
          <w:sz w:val="22"/>
        </w:rPr>
        <w:tab/>
        <w:t>For information</w:t>
      </w:r>
    </w:p>
    <w:p w14:paraId="06E82E12" w14:textId="00E4744E" w:rsidR="002D2A6E" w:rsidRPr="009D2525" w:rsidRDefault="002D2A6E" w:rsidP="002D2A6E">
      <w:pPr>
        <w:rPr>
          <w:rFonts w:eastAsiaTheme="minorEastAsia"/>
          <w:lang w:eastAsia="ja-JP"/>
        </w:rPr>
      </w:pPr>
      <w:r w:rsidRPr="00E45C27">
        <w:rPr>
          <w:rFonts w:ascii="Arial" w:hAnsi="Arial" w:cs="Arial"/>
          <w:b/>
          <w:sz w:val="22"/>
        </w:rPr>
        <w:t>Agenda Item:</w:t>
      </w:r>
      <w:r>
        <w:rPr>
          <w:rFonts w:ascii="Arial" w:hAnsi="Arial" w:cs="Arial"/>
          <w:b/>
          <w:sz w:val="22"/>
        </w:rPr>
        <w:t xml:space="preserve"> </w:t>
      </w:r>
      <w:r>
        <w:rPr>
          <w:rFonts w:ascii="Arial" w:hAnsi="Arial" w:cs="Arial"/>
          <w:b/>
          <w:sz w:val="22"/>
        </w:rPr>
        <w:tab/>
      </w:r>
      <w:r w:rsidR="0066443E">
        <w:rPr>
          <w:rFonts w:ascii="Arial" w:eastAsia="MS Mincho" w:hAnsi="Arial" w:cs="Arial"/>
          <w:b/>
          <w:sz w:val="22"/>
          <w:szCs w:val="22"/>
        </w:rPr>
        <w:t>8</w:t>
      </w:r>
      <w:r w:rsidR="005E72B0">
        <w:rPr>
          <w:rFonts w:ascii="Arial" w:eastAsia="MS Mincho" w:hAnsi="Arial" w:cs="Arial"/>
          <w:b/>
          <w:sz w:val="22"/>
          <w:szCs w:val="22"/>
        </w:rPr>
        <w:t>.17</w:t>
      </w:r>
    </w:p>
    <w:p w14:paraId="143C11E7" w14:textId="77777777" w:rsidR="002D2A6E" w:rsidRPr="001B1434" w:rsidRDefault="002D2A6E" w:rsidP="002D2A6E">
      <w:pPr>
        <w:pStyle w:val="Heading1"/>
        <w:numPr>
          <w:ilvl w:val="0"/>
          <w:numId w:val="1"/>
        </w:numPr>
        <w:tabs>
          <w:tab w:val="num" w:pos="360"/>
        </w:tabs>
        <w:ind w:left="0" w:firstLine="0"/>
        <w:rPr>
          <w:rFonts w:eastAsia="SimSun" w:cs="Arial"/>
          <w:lang w:eastAsia="zh-CN"/>
        </w:rPr>
      </w:pPr>
      <w:r w:rsidRPr="597C9880">
        <w:rPr>
          <w:rFonts w:eastAsia="SimSun" w:cs="Arial"/>
          <w:lang w:eastAsia="zh-CN"/>
        </w:rPr>
        <w:t>Introduction</w:t>
      </w:r>
      <w:bookmarkEnd w:id="0"/>
    </w:p>
    <w:p w14:paraId="5F878895" w14:textId="77777777" w:rsidR="002D2A6E" w:rsidRDefault="002D2A6E" w:rsidP="002D2A6E">
      <w:pPr>
        <w:tabs>
          <w:tab w:val="num" w:pos="360"/>
        </w:tabs>
        <w:jc w:val="both"/>
        <w:rPr>
          <w:sz w:val="24"/>
          <w:szCs w:val="24"/>
        </w:rPr>
      </w:pPr>
      <w:r>
        <w:rPr>
          <w:sz w:val="24"/>
          <w:szCs w:val="24"/>
        </w:rPr>
        <w:t xml:space="preserve">An initial discussion on 3GPP submission towards IMT-2020 Satellite took place at RAN#98 [1]. The discussion concerned an approval of RAN Study Item for performance evaluation of IMT-2020 Satellite system. </w:t>
      </w:r>
    </w:p>
    <w:p w14:paraId="6D8FA8C6" w14:textId="77777777" w:rsidR="002D2A6E" w:rsidRDefault="002D2A6E" w:rsidP="002D2A6E">
      <w:pPr>
        <w:tabs>
          <w:tab w:val="num" w:pos="360"/>
        </w:tabs>
        <w:jc w:val="both"/>
        <w:rPr>
          <w:sz w:val="24"/>
          <w:szCs w:val="24"/>
        </w:rPr>
      </w:pPr>
      <w:r>
        <w:rPr>
          <w:sz w:val="24"/>
          <w:szCs w:val="24"/>
        </w:rPr>
        <w:t xml:space="preserve">In this contribution, we provide information on a satellite system concept that can deliver mobile broadband services to unmodified smartphones. This document is based around descriptions of satellites in ITU-R’s M.2514 [3] and is not a description of the AST satellite system </w:t>
      </w:r>
      <w:r w:rsidRPr="00A31D20">
        <w:rPr>
          <w:sz w:val="24"/>
          <w:szCs w:val="24"/>
        </w:rPr>
        <w:t>[4]</w:t>
      </w:r>
      <w:r>
        <w:rPr>
          <w:sz w:val="24"/>
          <w:szCs w:val="24"/>
        </w:rPr>
        <w:t>.</w:t>
      </w:r>
    </w:p>
    <w:p w14:paraId="3B4A9C4E" w14:textId="77777777" w:rsidR="002D2A6E" w:rsidRDefault="002D2A6E" w:rsidP="002D2A6E">
      <w:pPr>
        <w:tabs>
          <w:tab w:val="num" w:pos="360"/>
        </w:tabs>
        <w:jc w:val="both"/>
        <w:rPr>
          <w:sz w:val="24"/>
          <w:szCs w:val="24"/>
        </w:rPr>
      </w:pPr>
      <w:r>
        <w:rPr>
          <w:sz w:val="24"/>
          <w:szCs w:val="24"/>
        </w:rPr>
        <w:t>In our view, the study towards IMT-2020 satellite should be opened to unmodified LTE UEs and per-R17 NR UEs.</w:t>
      </w:r>
    </w:p>
    <w:p w14:paraId="385B373A" w14:textId="77777777" w:rsidR="002D2A6E" w:rsidRPr="00AD5D33" w:rsidRDefault="002D2A6E" w:rsidP="002D2A6E">
      <w:pPr>
        <w:pStyle w:val="Heading1"/>
        <w:numPr>
          <w:ilvl w:val="0"/>
          <w:numId w:val="1"/>
        </w:numPr>
        <w:tabs>
          <w:tab w:val="num" w:pos="360"/>
        </w:tabs>
        <w:ind w:left="0" w:firstLine="0"/>
        <w:rPr>
          <w:rFonts w:eastAsia="SimSun" w:cs="Arial"/>
          <w:lang w:eastAsia="zh-CN"/>
        </w:rPr>
      </w:pPr>
      <w:r w:rsidRPr="597C9880">
        <w:rPr>
          <w:rFonts w:eastAsia="SimSun" w:cs="Arial"/>
          <w:lang w:eastAsia="zh-CN"/>
        </w:rPr>
        <w:t>Discussion</w:t>
      </w:r>
    </w:p>
    <w:p w14:paraId="1E626C36" w14:textId="77777777" w:rsidR="002D2A6E" w:rsidRPr="003A1C7F" w:rsidRDefault="002D2A6E" w:rsidP="002D2A6E">
      <w:pPr>
        <w:jc w:val="both"/>
        <w:rPr>
          <w:rFonts w:ascii="Arial" w:hAnsi="Arial" w:cs="Arial"/>
          <w:sz w:val="28"/>
          <w:szCs w:val="28"/>
        </w:rPr>
      </w:pPr>
      <w:bookmarkStart w:id="1" w:name="_Hlk126138588"/>
      <w:bookmarkEnd w:id="1"/>
      <w:r w:rsidRPr="003A1C7F">
        <w:rPr>
          <w:rFonts w:ascii="Arial" w:hAnsi="Arial" w:cs="Arial"/>
          <w:sz w:val="28"/>
          <w:szCs w:val="28"/>
        </w:rPr>
        <w:t>2.1 Overview</w:t>
      </w:r>
    </w:p>
    <w:p w14:paraId="40DE19AD" w14:textId="77777777" w:rsidR="002D2A6E" w:rsidRDefault="002D2A6E" w:rsidP="002D2A6E">
      <w:pPr>
        <w:jc w:val="both"/>
        <w:rPr>
          <w:sz w:val="24"/>
          <w:szCs w:val="24"/>
        </w:rPr>
      </w:pPr>
      <w:r w:rsidRPr="00C60A6A">
        <w:rPr>
          <w:sz w:val="24"/>
          <w:szCs w:val="24"/>
        </w:rPr>
        <w:t xml:space="preserve">Figure </w:t>
      </w:r>
      <w:r>
        <w:rPr>
          <w:sz w:val="24"/>
          <w:szCs w:val="24"/>
        </w:rPr>
        <w:t>1</w:t>
      </w:r>
      <w:r w:rsidRPr="00C60A6A">
        <w:rPr>
          <w:sz w:val="24"/>
          <w:szCs w:val="24"/>
        </w:rPr>
        <w:t xml:space="preserve"> illustrates an example of a satellite system providing access to a 3GPP unmodified UE. </w:t>
      </w:r>
      <w:r>
        <w:rPr>
          <w:sz w:val="24"/>
          <w:szCs w:val="24"/>
        </w:rPr>
        <w:t xml:space="preserve">An unmodified LTE UE served by a E-UTRAN system is shown in the illustration. </w:t>
      </w:r>
      <w:r w:rsidRPr="00C60A6A">
        <w:rPr>
          <w:sz w:val="24"/>
          <w:szCs w:val="24"/>
        </w:rPr>
        <w:t xml:space="preserve">There is a feeder link between a Gateway and a satellite (satellite payload) and a service link between the satellite and the 3GPP unmodified UE. </w:t>
      </w:r>
      <w:r>
        <w:rPr>
          <w:sz w:val="24"/>
          <w:szCs w:val="24"/>
        </w:rPr>
        <w:t xml:space="preserve">To enable the use of unmodified UEs, the key aspect is that, for the service link, the satellite uses very high gain antennas to project “small” cells onto the earth. By “small” it is meant that the cell’s width is less than the timing advance adjustment range supported by an unmodified LTE UE. </w:t>
      </w:r>
    </w:p>
    <w:p w14:paraId="238BD552" w14:textId="77777777" w:rsidR="002D2A6E" w:rsidRPr="00C60A6A" w:rsidRDefault="002D2A6E" w:rsidP="002D2A6E">
      <w:pPr>
        <w:ind w:left="709" w:hanging="709"/>
        <w:jc w:val="both"/>
        <w:rPr>
          <w:sz w:val="24"/>
          <w:szCs w:val="24"/>
        </w:rPr>
      </w:pPr>
      <w:r>
        <w:rPr>
          <w:sz w:val="24"/>
          <w:szCs w:val="24"/>
        </w:rPr>
        <w:t xml:space="preserve">Note: </w:t>
      </w:r>
      <w:r>
        <w:rPr>
          <w:sz w:val="24"/>
          <w:szCs w:val="24"/>
        </w:rPr>
        <w:tab/>
        <w:t xml:space="preserve">The ITU-R’s requirements in M.2514 [3] describe (e.g. in section 6.3) advances in satellite technology, and Table 3 of Annex 2 describes a satellite with a 1.76 degree beamwidth. With a LEO at 600 km above the earth and </w:t>
      </w:r>
      <w:bookmarkStart w:id="2" w:name="_Hlk127435117"/>
      <w:r>
        <w:rPr>
          <w:sz w:val="24"/>
          <w:szCs w:val="24"/>
        </w:rPr>
        <w:t>a 30 degree minimum elevation angle, the maximum cell width would be 66 km.</w:t>
      </w:r>
      <w:bookmarkEnd w:id="2"/>
      <w:r>
        <w:rPr>
          <w:sz w:val="24"/>
          <w:szCs w:val="24"/>
        </w:rPr>
        <w:t xml:space="preserve"> (see Annex A)</w:t>
      </w:r>
    </w:p>
    <w:p w14:paraId="46836B9A" w14:textId="77777777" w:rsidR="002D2A6E" w:rsidRDefault="002D2A6E" w:rsidP="002D2A6E">
      <w:r>
        <w:object w:dxaOrig="9111" w:dyaOrig="3111" w14:anchorId="2B4C36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25pt;height:155.25pt" o:ole="">
            <v:imagedata r:id="rId7" o:title=""/>
          </v:shape>
          <o:OLEObject Type="Embed" ProgID="Visio.Drawing.15" ShapeID="_x0000_i1025" DrawAspect="Content" ObjectID="_1738137264" r:id="rId8"/>
        </w:object>
      </w:r>
    </w:p>
    <w:p w14:paraId="3AC3D15B" w14:textId="77777777" w:rsidR="002D2A6E" w:rsidRDefault="002D2A6E" w:rsidP="002D2A6E"/>
    <w:p w14:paraId="054364CE" w14:textId="77777777" w:rsidR="002D2A6E" w:rsidRPr="00776D2D" w:rsidRDefault="002D2A6E" w:rsidP="002D2A6E">
      <w:pPr>
        <w:jc w:val="both"/>
        <w:rPr>
          <w:b/>
          <w:bCs/>
          <w:sz w:val="24"/>
          <w:szCs w:val="24"/>
        </w:rPr>
      </w:pPr>
      <w:r w:rsidRPr="00776D2D">
        <w:rPr>
          <w:b/>
          <w:bCs/>
          <w:sz w:val="24"/>
          <w:szCs w:val="24"/>
        </w:rPr>
        <w:t xml:space="preserve">Figure </w:t>
      </w:r>
      <w:r>
        <w:rPr>
          <w:b/>
          <w:bCs/>
          <w:sz w:val="24"/>
          <w:szCs w:val="24"/>
        </w:rPr>
        <w:t>1</w:t>
      </w:r>
      <w:r w:rsidRPr="00776D2D">
        <w:rPr>
          <w:b/>
          <w:bCs/>
          <w:sz w:val="24"/>
          <w:szCs w:val="24"/>
        </w:rPr>
        <w:t xml:space="preserve">:  </w:t>
      </w:r>
      <w:r>
        <w:rPr>
          <w:b/>
          <w:bCs/>
          <w:sz w:val="24"/>
          <w:szCs w:val="24"/>
        </w:rPr>
        <w:t xml:space="preserve">An </w:t>
      </w:r>
      <w:r w:rsidRPr="00776D2D">
        <w:rPr>
          <w:b/>
          <w:bCs/>
          <w:sz w:val="24"/>
          <w:szCs w:val="24"/>
        </w:rPr>
        <w:t>overall illustration of a satellite system providing service to unmodified 3GPP UE</w:t>
      </w:r>
    </w:p>
    <w:p w14:paraId="057EF706" w14:textId="77777777" w:rsidR="002D2A6E" w:rsidRPr="007613C5" w:rsidRDefault="002D2A6E" w:rsidP="002D2A6E">
      <w:pPr>
        <w:jc w:val="both"/>
        <w:rPr>
          <w:sz w:val="24"/>
          <w:szCs w:val="24"/>
        </w:rPr>
      </w:pPr>
      <w:r w:rsidRPr="007613C5">
        <w:rPr>
          <w:sz w:val="24"/>
          <w:szCs w:val="24"/>
        </w:rPr>
        <w:t xml:space="preserve">The satellite payload transparently forwards the radio protocol received from the Gateway (via the feeder link) to the UE (via the service link) and vice-versa. </w:t>
      </w:r>
      <w:r w:rsidRPr="008377C9">
        <w:rPr>
          <w:i/>
          <w:iCs/>
          <w:sz w:val="24"/>
          <w:szCs w:val="24"/>
        </w:rPr>
        <w:t>The gateway may serve a number of satellite payloads. Also, a satellite payload may be served by a number of gateways.</w:t>
      </w:r>
    </w:p>
    <w:p w14:paraId="72D75FE4" w14:textId="77777777" w:rsidR="002D2A6E" w:rsidRDefault="002D2A6E" w:rsidP="002D2A6E">
      <w:pPr>
        <w:jc w:val="both"/>
        <w:rPr>
          <w:sz w:val="24"/>
          <w:szCs w:val="24"/>
        </w:rPr>
      </w:pPr>
      <w:r>
        <w:rPr>
          <w:sz w:val="24"/>
          <w:szCs w:val="24"/>
        </w:rPr>
        <w:t>T</w:t>
      </w:r>
      <w:r w:rsidRPr="007613C5">
        <w:rPr>
          <w:sz w:val="24"/>
          <w:szCs w:val="24"/>
        </w:rPr>
        <w:t xml:space="preserve">he customized base stations (eNBs) are located at ground level and connected to the </w:t>
      </w:r>
      <w:r>
        <w:rPr>
          <w:sz w:val="24"/>
          <w:szCs w:val="24"/>
        </w:rPr>
        <w:t>satellite</w:t>
      </w:r>
      <w:r w:rsidRPr="007613C5">
        <w:rPr>
          <w:sz w:val="24"/>
          <w:szCs w:val="24"/>
        </w:rPr>
        <w:t xml:space="preserve"> payload via a gateway station. </w:t>
      </w:r>
    </w:p>
    <w:p w14:paraId="4B86AF4E" w14:textId="77777777" w:rsidR="002D2A6E" w:rsidRDefault="002D2A6E" w:rsidP="002D2A6E">
      <w:pPr>
        <w:jc w:val="both"/>
        <w:rPr>
          <w:sz w:val="24"/>
          <w:szCs w:val="24"/>
        </w:rPr>
      </w:pPr>
      <w:r>
        <w:rPr>
          <w:sz w:val="24"/>
          <w:szCs w:val="24"/>
        </w:rPr>
        <w:t>With 3GPP Release 17 NR-NTN, the UE is modified so that the UE uses its GNSS location and the satellite’s location &amp; velocity (derived from the SIB information) to calculate the downlink Doppler shift and timing errors received by the UE, and, the amount of frequency pre-compensation and timing advance for that UE to apply so that the uplink transmissions from all the UEs in the (large) cell arrive ‘on time’ and ‘on-frequency’ at the gNB function.</w:t>
      </w:r>
    </w:p>
    <w:p w14:paraId="09001862" w14:textId="77777777" w:rsidR="002D2A6E" w:rsidRDefault="002D2A6E" w:rsidP="002D2A6E">
      <w:pPr>
        <w:jc w:val="both"/>
        <w:rPr>
          <w:sz w:val="24"/>
          <w:szCs w:val="24"/>
        </w:rPr>
      </w:pPr>
      <w:r>
        <w:rPr>
          <w:sz w:val="24"/>
          <w:szCs w:val="24"/>
        </w:rPr>
        <w:t>When using unmodified LTE UEs, these Release 17 NR-NTN UE functions are replaced by somewhat similar eNB functions:</w:t>
      </w:r>
    </w:p>
    <w:p w14:paraId="63B4214B" w14:textId="77777777" w:rsidR="002D2A6E" w:rsidRPr="008377C9" w:rsidRDefault="002D2A6E" w:rsidP="002D2A6E">
      <w:pPr>
        <w:pStyle w:val="ListParagraph"/>
        <w:numPr>
          <w:ilvl w:val="0"/>
          <w:numId w:val="2"/>
        </w:numPr>
        <w:jc w:val="both"/>
        <w:rPr>
          <w:sz w:val="24"/>
          <w:szCs w:val="24"/>
        </w:rPr>
      </w:pPr>
      <w:r w:rsidRPr="00520918">
        <w:rPr>
          <w:rFonts w:ascii="Times New Roman" w:hAnsi="Times New Roman"/>
          <w:sz w:val="24"/>
          <w:szCs w:val="24"/>
        </w:rPr>
        <w:t xml:space="preserve">The eNB knows the satellite’s location and velocity; and the small area of the Earth covered by the cell. This enables the eNB to pre-compensate for doppler and timing on the downlink </w:t>
      </w:r>
      <w:r>
        <w:rPr>
          <w:rFonts w:ascii="Times New Roman" w:hAnsi="Times New Roman"/>
          <w:sz w:val="24"/>
          <w:szCs w:val="24"/>
        </w:rPr>
        <w:t>such that the signal received on the ‘near edge’ of the cell is “on frequency” and “on time”</w:t>
      </w:r>
      <w:r w:rsidRPr="00352726">
        <w:rPr>
          <w:rFonts w:ascii="Times New Roman" w:hAnsi="Times New Roman"/>
          <w:sz w:val="24"/>
          <w:szCs w:val="24"/>
        </w:rPr>
        <w:t>,</w:t>
      </w:r>
      <w:r>
        <w:rPr>
          <w:rFonts w:ascii="Times New Roman" w:hAnsi="Times New Roman"/>
          <w:sz w:val="24"/>
          <w:szCs w:val="24"/>
        </w:rPr>
        <w:t xml:space="preserve"> </w:t>
      </w:r>
      <w:r w:rsidRPr="00352726">
        <w:rPr>
          <w:rFonts w:ascii="Times New Roman" w:hAnsi="Times New Roman"/>
          <w:sz w:val="24"/>
          <w:szCs w:val="24"/>
        </w:rPr>
        <w:t xml:space="preserve">and the base station post-compensates for the uplink doppler and </w:t>
      </w:r>
      <w:r>
        <w:rPr>
          <w:rFonts w:ascii="Times New Roman" w:hAnsi="Times New Roman"/>
          <w:sz w:val="24"/>
          <w:szCs w:val="24"/>
        </w:rPr>
        <w:t xml:space="preserve">satellite link </w:t>
      </w:r>
      <w:r w:rsidRPr="008377C9">
        <w:rPr>
          <w:rFonts w:ascii="Times New Roman" w:hAnsi="Times New Roman"/>
          <w:sz w:val="24"/>
          <w:szCs w:val="24"/>
        </w:rPr>
        <w:t xml:space="preserve">timing </w:t>
      </w:r>
      <w:r>
        <w:rPr>
          <w:rFonts w:ascii="Times New Roman" w:hAnsi="Times New Roman"/>
          <w:sz w:val="24"/>
          <w:szCs w:val="24"/>
        </w:rPr>
        <w:t>delays</w:t>
      </w:r>
      <w:r w:rsidRPr="00352726">
        <w:rPr>
          <w:rFonts w:ascii="Times New Roman" w:hAnsi="Times New Roman"/>
          <w:sz w:val="24"/>
          <w:szCs w:val="24"/>
        </w:rPr>
        <w:t xml:space="preserve"> from th</w:t>
      </w:r>
      <w:r>
        <w:rPr>
          <w:rFonts w:ascii="Times New Roman" w:hAnsi="Times New Roman"/>
          <w:sz w:val="24"/>
          <w:szCs w:val="24"/>
        </w:rPr>
        <w:t xml:space="preserve">at position. The additional timing difference caused by the UE being a short distance away from that position are handled by the normal 3GPP timing advance process. </w:t>
      </w:r>
    </w:p>
    <w:p w14:paraId="106E3535" w14:textId="77777777" w:rsidR="002D2A6E" w:rsidRPr="002B2686" w:rsidRDefault="002D2A6E" w:rsidP="002D2A6E">
      <w:pPr>
        <w:jc w:val="both"/>
        <w:rPr>
          <w:sz w:val="24"/>
          <w:szCs w:val="24"/>
        </w:rPr>
      </w:pPr>
      <w:r w:rsidRPr="002B2686">
        <w:rPr>
          <w:sz w:val="24"/>
          <w:szCs w:val="24"/>
        </w:rPr>
        <w:t xml:space="preserve">Therefore, the </w:t>
      </w:r>
      <w:r>
        <w:rPr>
          <w:sz w:val="24"/>
          <w:szCs w:val="24"/>
        </w:rPr>
        <w:t xml:space="preserve">unmodified </w:t>
      </w:r>
      <w:r w:rsidRPr="002B2686">
        <w:rPr>
          <w:sz w:val="24"/>
          <w:szCs w:val="24"/>
        </w:rPr>
        <w:t>3GPP UE does not need to get the UE</w:t>
      </w:r>
      <w:r>
        <w:rPr>
          <w:sz w:val="24"/>
          <w:szCs w:val="24"/>
        </w:rPr>
        <w:t>’s GNSS</w:t>
      </w:r>
      <w:r w:rsidRPr="002B2686">
        <w:rPr>
          <w:sz w:val="24"/>
          <w:szCs w:val="24"/>
        </w:rPr>
        <w:t xml:space="preserve"> location to solve the T</w:t>
      </w:r>
      <w:r>
        <w:rPr>
          <w:sz w:val="24"/>
          <w:szCs w:val="24"/>
        </w:rPr>
        <w:t xml:space="preserve">iming </w:t>
      </w:r>
      <w:r w:rsidRPr="002B2686">
        <w:rPr>
          <w:sz w:val="24"/>
          <w:szCs w:val="24"/>
        </w:rPr>
        <w:t>A</w:t>
      </w:r>
      <w:r>
        <w:rPr>
          <w:sz w:val="24"/>
          <w:szCs w:val="24"/>
        </w:rPr>
        <w:t>dvance (TA)</w:t>
      </w:r>
      <w:r w:rsidRPr="002B2686">
        <w:rPr>
          <w:sz w:val="24"/>
          <w:szCs w:val="24"/>
        </w:rPr>
        <w:t xml:space="preserve"> problem and the TA is maintained </w:t>
      </w:r>
      <w:r>
        <w:rPr>
          <w:sz w:val="24"/>
          <w:szCs w:val="24"/>
        </w:rPr>
        <w:t>in</w:t>
      </w:r>
      <w:r w:rsidRPr="002B2686">
        <w:rPr>
          <w:sz w:val="24"/>
          <w:szCs w:val="24"/>
        </w:rPr>
        <w:t xml:space="preserve"> the 3GPP UE following the same procedure as in </w:t>
      </w:r>
      <w:r>
        <w:rPr>
          <w:sz w:val="24"/>
          <w:szCs w:val="24"/>
        </w:rPr>
        <w:t xml:space="preserve">a </w:t>
      </w:r>
      <w:r w:rsidRPr="002B2686">
        <w:rPr>
          <w:sz w:val="24"/>
          <w:szCs w:val="24"/>
        </w:rPr>
        <w:t xml:space="preserve">terrestrial network. </w:t>
      </w:r>
    </w:p>
    <w:p w14:paraId="6EFBE880" w14:textId="77777777" w:rsidR="002D2A6E" w:rsidRPr="002B2686" w:rsidRDefault="002D2A6E" w:rsidP="002D2A6E">
      <w:pPr>
        <w:jc w:val="both"/>
        <w:rPr>
          <w:sz w:val="24"/>
          <w:szCs w:val="24"/>
        </w:rPr>
      </w:pPr>
      <w:r w:rsidRPr="002B2686">
        <w:rPr>
          <w:sz w:val="24"/>
          <w:szCs w:val="24"/>
        </w:rPr>
        <w:t>A high antenna gain (</w:t>
      </w:r>
      <w:r>
        <w:rPr>
          <w:sz w:val="24"/>
          <w:szCs w:val="24"/>
        </w:rPr>
        <w:t>e.g. 38.5 dBi in Table 3 M.2514 [3])</w:t>
      </w:r>
      <w:r w:rsidRPr="002B2686">
        <w:rPr>
          <w:sz w:val="24"/>
          <w:szCs w:val="24"/>
        </w:rPr>
        <w:t xml:space="preserve"> </w:t>
      </w:r>
      <w:r>
        <w:rPr>
          <w:sz w:val="24"/>
          <w:szCs w:val="24"/>
        </w:rPr>
        <w:t>can be</w:t>
      </w:r>
      <w:r w:rsidRPr="002B2686">
        <w:rPr>
          <w:sz w:val="24"/>
          <w:szCs w:val="24"/>
        </w:rPr>
        <w:t xml:space="preserve"> utilised. A</w:t>
      </w:r>
      <w:r>
        <w:rPr>
          <w:sz w:val="24"/>
          <w:szCs w:val="24"/>
        </w:rPr>
        <w:t>s in section 6.3 of M.2514 [3], the</w:t>
      </w:r>
      <w:r w:rsidRPr="002B2686">
        <w:rPr>
          <w:sz w:val="24"/>
          <w:szCs w:val="24"/>
        </w:rPr>
        <w:t xml:space="preserve"> satellite system </w:t>
      </w:r>
      <w:r>
        <w:rPr>
          <w:sz w:val="24"/>
          <w:szCs w:val="24"/>
        </w:rPr>
        <w:t xml:space="preserve">can </w:t>
      </w:r>
      <w:r w:rsidRPr="002B2686">
        <w:rPr>
          <w:sz w:val="24"/>
          <w:szCs w:val="24"/>
        </w:rPr>
        <w:t xml:space="preserve">create hundreds of </w:t>
      </w:r>
      <w:r>
        <w:rPr>
          <w:sz w:val="24"/>
          <w:szCs w:val="24"/>
        </w:rPr>
        <w:t xml:space="preserve">beams, each forming an earth-fixed </w:t>
      </w:r>
      <w:r w:rsidRPr="002B2686">
        <w:rPr>
          <w:sz w:val="24"/>
          <w:szCs w:val="24"/>
        </w:rPr>
        <w:t xml:space="preserve">cells. The 3GPP unmodified UE </w:t>
      </w:r>
      <w:r>
        <w:rPr>
          <w:sz w:val="24"/>
          <w:szCs w:val="24"/>
        </w:rPr>
        <w:t xml:space="preserve">uses the satellite beam in the same way </w:t>
      </w:r>
      <w:r w:rsidRPr="002B2686">
        <w:rPr>
          <w:sz w:val="24"/>
          <w:szCs w:val="24"/>
        </w:rPr>
        <w:t xml:space="preserve">as they would </w:t>
      </w:r>
      <w:r>
        <w:rPr>
          <w:sz w:val="24"/>
          <w:szCs w:val="24"/>
        </w:rPr>
        <w:t>use</w:t>
      </w:r>
      <w:r w:rsidRPr="002B2686">
        <w:rPr>
          <w:sz w:val="24"/>
          <w:szCs w:val="24"/>
        </w:rPr>
        <w:t xml:space="preserve"> a cell in </w:t>
      </w:r>
      <w:r>
        <w:rPr>
          <w:sz w:val="24"/>
          <w:szCs w:val="24"/>
        </w:rPr>
        <w:t xml:space="preserve">the </w:t>
      </w:r>
      <w:r w:rsidRPr="002B2686">
        <w:rPr>
          <w:sz w:val="24"/>
          <w:szCs w:val="24"/>
        </w:rPr>
        <w:t>terrestrial network while the customized base station compensate</w:t>
      </w:r>
      <w:r>
        <w:rPr>
          <w:sz w:val="24"/>
          <w:szCs w:val="24"/>
        </w:rPr>
        <w:t>s</w:t>
      </w:r>
      <w:r w:rsidRPr="002B2686">
        <w:rPr>
          <w:sz w:val="24"/>
          <w:szCs w:val="24"/>
        </w:rPr>
        <w:t xml:space="preserve"> for the effect of the satellite communication system. </w:t>
      </w:r>
    </w:p>
    <w:p w14:paraId="511363D2" w14:textId="77777777" w:rsidR="002D2A6E" w:rsidRPr="002B2686" w:rsidRDefault="002D2A6E" w:rsidP="002D2A6E">
      <w:pPr>
        <w:jc w:val="both"/>
        <w:rPr>
          <w:sz w:val="24"/>
          <w:szCs w:val="24"/>
        </w:rPr>
      </w:pPr>
      <w:r w:rsidRPr="002B2686">
        <w:rPr>
          <w:sz w:val="24"/>
          <w:szCs w:val="24"/>
        </w:rPr>
        <w:t>High-frequency, high throughput feeder links</w:t>
      </w:r>
      <w:r>
        <w:rPr>
          <w:sz w:val="24"/>
          <w:szCs w:val="24"/>
        </w:rPr>
        <w:t xml:space="preserve"> are used, but these are out of the scope of 3GPP.</w:t>
      </w:r>
      <w:r w:rsidRPr="002B2686">
        <w:rPr>
          <w:sz w:val="24"/>
          <w:szCs w:val="24"/>
        </w:rPr>
        <w:t xml:space="preserve">  </w:t>
      </w:r>
      <w:r>
        <w:rPr>
          <w:sz w:val="24"/>
          <w:szCs w:val="24"/>
        </w:rPr>
        <w:t>The s</w:t>
      </w:r>
      <w:r w:rsidRPr="002B2686">
        <w:rPr>
          <w:sz w:val="24"/>
          <w:szCs w:val="24"/>
        </w:rPr>
        <w:t xml:space="preserve">ervice link </w:t>
      </w:r>
      <w:r>
        <w:rPr>
          <w:sz w:val="24"/>
          <w:szCs w:val="24"/>
        </w:rPr>
        <w:t xml:space="preserve">can </w:t>
      </w:r>
      <w:r w:rsidRPr="002B2686">
        <w:rPr>
          <w:sz w:val="24"/>
          <w:szCs w:val="24"/>
        </w:rPr>
        <w:t>use</w:t>
      </w:r>
      <w:r>
        <w:rPr>
          <w:sz w:val="24"/>
          <w:szCs w:val="24"/>
        </w:rPr>
        <w:t xml:space="preserve"> any FDD band in coordination with the terrestrial </w:t>
      </w:r>
      <w:r w:rsidRPr="002B2686">
        <w:rPr>
          <w:sz w:val="24"/>
          <w:szCs w:val="24"/>
        </w:rPr>
        <w:t xml:space="preserve">wireless partners on </w:t>
      </w:r>
      <w:r>
        <w:rPr>
          <w:sz w:val="24"/>
          <w:szCs w:val="24"/>
        </w:rPr>
        <w:lastRenderedPageBreak/>
        <w:t xml:space="preserve">a </w:t>
      </w:r>
      <w:r w:rsidRPr="002B2686">
        <w:rPr>
          <w:sz w:val="24"/>
          <w:szCs w:val="24"/>
        </w:rPr>
        <w:t xml:space="preserve">non-interference basis. </w:t>
      </w:r>
      <w:r>
        <w:rPr>
          <w:sz w:val="24"/>
          <w:szCs w:val="24"/>
        </w:rPr>
        <w:t xml:space="preserve">Example bands would be in the range </w:t>
      </w:r>
      <w:r w:rsidRPr="002B2686">
        <w:rPr>
          <w:sz w:val="24"/>
          <w:szCs w:val="24"/>
        </w:rPr>
        <w:t>700-900</w:t>
      </w:r>
      <w:r>
        <w:rPr>
          <w:sz w:val="24"/>
          <w:szCs w:val="24"/>
        </w:rPr>
        <w:t xml:space="preserve"> </w:t>
      </w:r>
      <w:r w:rsidRPr="002B2686">
        <w:rPr>
          <w:sz w:val="24"/>
          <w:szCs w:val="24"/>
        </w:rPr>
        <w:t xml:space="preserve">MHz and 1800-2100 MHz </w:t>
      </w:r>
      <w:r>
        <w:rPr>
          <w:sz w:val="24"/>
          <w:szCs w:val="24"/>
        </w:rPr>
        <w:t xml:space="preserve">for the </w:t>
      </w:r>
      <w:r w:rsidRPr="002B2686">
        <w:rPr>
          <w:sz w:val="24"/>
          <w:szCs w:val="24"/>
        </w:rPr>
        <w:t>4G and 5G RATs used for the service link.</w:t>
      </w:r>
    </w:p>
    <w:p w14:paraId="6FE949BA" w14:textId="77777777" w:rsidR="002D2A6E" w:rsidRPr="002B2686" w:rsidRDefault="002D2A6E" w:rsidP="002D2A6E">
      <w:pPr>
        <w:jc w:val="both"/>
        <w:rPr>
          <w:sz w:val="24"/>
          <w:szCs w:val="24"/>
        </w:rPr>
      </w:pPr>
      <w:r w:rsidRPr="002B2686">
        <w:rPr>
          <w:sz w:val="24"/>
          <w:szCs w:val="24"/>
        </w:rPr>
        <w:t xml:space="preserve">A Tracking Area corresponds to a fixed geographical area. </w:t>
      </w:r>
      <w:r>
        <w:rPr>
          <w:sz w:val="24"/>
          <w:szCs w:val="24"/>
        </w:rPr>
        <w:t>Also, a</w:t>
      </w:r>
      <w:r w:rsidRPr="002B2686">
        <w:rPr>
          <w:sz w:val="24"/>
          <w:szCs w:val="24"/>
        </w:rPr>
        <w:t xml:space="preserve"> Cell ID corresponds to a fixed geographical area</w:t>
      </w:r>
      <w:r>
        <w:rPr>
          <w:sz w:val="24"/>
          <w:szCs w:val="24"/>
        </w:rPr>
        <w:t>, and maps 1:1 to the beam</w:t>
      </w:r>
      <w:r w:rsidRPr="002B2686">
        <w:rPr>
          <w:sz w:val="24"/>
          <w:szCs w:val="24"/>
        </w:rPr>
        <w:t xml:space="preserve">. The mapping between Cell IDs and geographical area is configured </w:t>
      </w:r>
      <w:r>
        <w:rPr>
          <w:sz w:val="24"/>
          <w:szCs w:val="24"/>
        </w:rPr>
        <w:t>as in the terrestrial network</w:t>
      </w:r>
      <w:r w:rsidRPr="002B2686">
        <w:rPr>
          <w:sz w:val="24"/>
          <w:szCs w:val="24"/>
        </w:rPr>
        <w:t>.</w:t>
      </w:r>
    </w:p>
    <w:p w14:paraId="63BE47A0" w14:textId="77777777" w:rsidR="002D2A6E" w:rsidRDefault="002D2A6E" w:rsidP="002D2A6E"/>
    <w:p w14:paraId="15CEA410" w14:textId="77777777" w:rsidR="002D2A6E" w:rsidRPr="0079677F" w:rsidRDefault="002D2A6E" w:rsidP="002D2A6E">
      <w:pPr>
        <w:rPr>
          <w:rFonts w:ascii="Arial" w:hAnsi="Arial" w:cs="Arial"/>
          <w:sz w:val="28"/>
          <w:szCs w:val="28"/>
        </w:rPr>
      </w:pPr>
      <w:r w:rsidRPr="0079677F">
        <w:rPr>
          <w:rFonts w:ascii="Arial" w:hAnsi="Arial" w:cs="Arial"/>
          <w:sz w:val="28"/>
          <w:szCs w:val="28"/>
        </w:rPr>
        <w:t>2.2 Random Access procedure</w:t>
      </w:r>
    </w:p>
    <w:p w14:paraId="3378B29C" w14:textId="77777777" w:rsidR="002D2A6E" w:rsidRDefault="002D2A6E" w:rsidP="002D2A6E">
      <w:pPr>
        <w:jc w:val="both"/>
        <w:rPr>
          <w:sz w:val="24"/>
          <w:szCs w:val="24"/>
        </w:rPr>
      </w:pPr>
      <w:r>
        <w:rPr>
          <w:sz w:val="24"/>
          <w:szCs w:val="24"/>
        </w:rPr>
        <w:t>In the UE, t</w:t>
      </w:r>
      <w:r w:rsidRPr="0079677F">
        <w:rPr>
          <w:sz w:val="24"/>
          <w:szCs w:val="24"/>
        </w:rPr>
        <w:t xml:space="preserve">he same principle and procedure as in </w:t>
      </w:r>
      <w:r>
        <w:rPr>
          <w:sz w:val="24"/>
          <w:szCs w:val="24"/>
        </w:rPr>
        <w:t xml:space="preserve">a </w:t>
      </w:r>
      <w:r w:rsidRPr="0079677F">
        <w:rPr>
          <w:sz w:val="24"/>
          <w:szCs w:val="24"/>
        </w:rPr>
        <w:t xml:space="preserve">terrestrial network </w:t>
      </w:r>
      <w:r>
        <w:rPr>
          <w:sz w:val="24"/>
          <w:szCs w:val="24"/>
        </w:rPr>
        <w:t>are</w:t>
      </w:r>
      <w:r w:rsidRPr="0079677F">
        <w:rPr>
          <w:sz w:val="24"/>
          <w:szCs w:val="24"/>
        </w:rPr>
        <w:t xml:space="preserve"> applied for random access procedure</w:t>
      </w:r>
      <w:r>
        <w:rPr>
          <w:sz w:val="24"/>
          <w:szCs w:val="24"/>
        </w:rPr>
        <w:t>, however, owing to the propagation delays, the eNB operation is modified compared to the expected (but not mandated) terrestrial network operation</w:t>
      </w:r>
      <w:r w:rsidRPr="0079677F">
        <w:rPr>
          <w:sz w:val="24"/>
          <w:szCs w:val="24"/>
        </w:rPr>
        <w:t>.</w:t>
      </w:r>
      <w:r>
        <w:rPr>
          <w:sz w:val="24"/>
          <w:szCs w:val="24"/>
        </w:rPr>
        <w:t xml:space="preserve"> While multiple mechanisms are possible, a</w:t>
      </w:r>
      <w:r w:rsidRPr="0079677F">
        <w:rPr>
          <w:sz w:val="24"/>
          <w:szCs w:val="24"/>
        </w:rPr>
        <w:t xml:space="preserve">n example of RA procedure seen for communication via </w:t>
      </w:r>
      <w:r>
        <w:rPr>
          <w:sz w:val="24"/>
          <w:szCs w:val="24"/>
        </w:rPr>
        <w:t xml:space="preserve">a </w:t>
      </w:r>
      <w:r w:rsidRPr="0079677F">
        <w:rPr>
          <w:sz w:val="24"/>
          <w:szCs w:val="24"/>
        </w:rPr>
        <w:t xml:space="preserve">satellite system is illustrated in Figure </w:t>
      </w:r>
      <w:r>
        <w:rPr>
          <w:sz w:val="24"/>
          <w:szCs w:val="24"/>
        </w:rPr>
        <w:t xml:space="preserve">2 for the case when the UE-satellite-eNB propagation delay is </w:t>
      </w:r>
      <w:r w:rsidRPr="009E4A10">
        <w:rPr>
          <w:sz w:val="24"/>
          <w:szCs w:val="24"/>
        </w:rPr>
        <w:t>6</w:t>
      </w:r>
      <w:r>
        <w:rPr>
          <w:sz w:val="24"/>
          <w:szCs w:val="24"/>
        </w:rPr>
        <w:t xml:space="preserve"> ms</w:t>
      </w:r>
      <w:r w:rsidRPr="0079677F">
        <w:rPr>
          <w:sz w:val="24"/>
          <w:szCs w:val="24"/>
        </w:rPr>
        <w:t xml:space="preserve">. The base station implementation is </w:t>
      </w:r>
      <w:r>
        <w:rPr>
          <w:sz w:val="24"/>
          <w:szCs w:val="24"/>
        </w:rPr>
        <w:t>not visible</w:t>
      </w:r>
      <w:r w:rsidRPr="0079677F">
        <w:rPr>
          <w:sz w:val="24"/>
          <w:szCs w:val="24"/>
        </w:rPr>
        <w:t xml:space="preserve"> to the UE</w:t>
      </w:r>
      <w:r>
        <w:rPr>
          <w:sz w:val="24"/>
          <w:szCs w:val="24"/>
        </w:rPr>
        <w:t>.</w:t>
      </w:r>
    </w:p>
    <w:p w14:paraId="3868D860" w14:textId="77777777" w:rsidR="002D2A6E" w:rsidRDefault="002D2A6E" w:rsidP="002D2A6E">
      <w:pPr>
        <w:jc w:val="both"/>
        <w:rPr>
          <w:sz w:val="24"/>
          <w:szCs w:val="24"/>
        </w:rPr>
      </w:pPr>
      <w:r w:rsidRPr="0079677F">
        <w:rPr>
          <w:sz w:val="24"/>
          <w:szCs w:val="24"/>
        </w:rPr>
        <w:t xml:space="preserve">PRACH configuration </w:t>
      </w:r>
      <w:r w:rsidRPr="00E84BD7">
        <w:rPr>
          <w:sz w:val="24"/>
          <w:szCs w:val="24"/>
        </w:rPr>
        <w:t>index 19</w:t>
      </w:r>
      <w:r>
        <w:rPr>
          <w:sz w:val="24"/>
          <w:szCs w:val="24"/>
        </w:rPr>
        <w:t xml:space="preserve"> in Table 5.7.1-2 of TS 36.211 [5]</w:t>
      </w:r>
      <w:r w:rsidRPr="0079677F">
        <w:rPr>
          <w:sz w:val="24"/>
          <w:szCs w:val="24"/>
        </w:rPr>
        <w:t xml:space="preserve"> is assumed, which means preamble format </w:t>
      </w:r>
      <w:r>
        <w:rPr>
          <w:sz w:val="24"/>
          <w:szCs w:val="24"/>
        </w:rPr>
        <w:t>1</w:t>
      </w:r>
      <w:r w:rsidRPr="0079677F">
        <w:rPr>
          <w:sz w:val="24"/>
          <w:szCs w:val="24"/>
        </w:rPr>
        <w:t xml:space="preserve">, subframe number 1 and PRACH is located in any radio frame. </w:t>
      </w:r>
      <w:r>
        <w:rPr>
          <w:sz w:val="24"/>
          <w:szCs w:val="24"/>
        </w:rPr>
        <w:t xml:space="preserve">In RACH-ConfigCommon in SIB 2, the number of RA preambles </w:t>
      </w:r>
      <w:r w:rsidRPr="0005010D">
        <w:rPr>
          <w:sz w:val="24"/>
          <w:szCs w:val="24"/>
        </w:rPr>
        <w:t>(numberOfRA-Preambles)</w:t>
      </w:r>
      <w:r>
        <w:rPr>
          <w:sz w:val="24"/>
          <w:szCs w:val="24"/>
        </w:rPr>
        <w:t xml:space="preserve"> is restricted to 4 [TS 36.331 [6]].</w:t>
      </w:r>
      <w:r w:rsidRPr="0079677F">
        <w:rPr>
          <w:sz w:val="24"/>
          <w:szCs w:val="24"/>
        </w:rPr>
        <w:t xml:space="preserve"> </w:t>
      </w:r>
    </w:p>
    <w:p w14:paraId="29419C37" w14:textId="77777777" w:rsidR="002D2A6E" w:rsidRPr="0079677F" w:rsidRDefault="002D2A6E" w:rsidP="002D2A6E">
      <w:pPr>
        <w:jc w:val="both"/>
        <w:rPr>
          <w:sz w:val="24"/>
          <w:szCs w:val="24"/>
        </w:rPr>
      </w:pPr>
      <w:r w:rsidRPr="0079677F">
        <w:rPr>
          <w:sz w:val="24"/>
          <w:szCs w:val="24"/>
        </w:rPr>
        <w:t>The UE transmit</w:t>
      </w:r>
      <w:r>
        <w:rPr>
          <w:sz w:val="24"/>
          <w:szCs w:val="24"/>
        </w:rPr>
        <w:t>s</w:t>
      </w:r>
      <w:r w:rsidRPr="0079677F">
        <w:rPr>
          <w:sz w:val="24"/>
          <w:szCs w:val="24"/>
        </w:rPr>
        <w:t xml:space="preserve"> a preamble at T1 and </w:t>
      </w:r>
      <w:r>
        <w:rPr>
          <w:sz w:val="24"/>
          <w:szCs w:val="24"/>
        </w:rPr>
        <w:t xml:space="preserve">in the </w:t>
      </w:r>
      <w:r w:rsidRPr="0079677F">
        <w:rPr>
          <w:sz w:val="24"/>
          <w:szCs w:val="24"/>
        </w:rPr>
        <w:t xml:space="preserve">absence of </w:t>
      </w:r>
      <w:r>
        <w:rPr>
          <w:sz w:val="24"/>
          <w:szCs w:val="24"/>
        </w:rPr>
        <w:t>Random Access Response (</w:t>
      </w:r>
      <w:r w:rsidRPr="0079677F">
        <w:rPr>
          <w:sz w:val="24"/>
          <w:szCs w:val="24"/>
        </w:rPr>
        <w:t>RAR</w:t>
      </w:r>
      <w:r>
        <w:rPr>
          <w:sz w:val="24"/>
          <w:szCs w:val="24"/>
        </w:rPr>
        <w:t>)</w:t>
      </w:r>
      <w:r w:rsidRPr="0079677F">
        <w:rPr>
          <w:sz w:val="24"/>
          <w:szCs w:val="24"/>
        </w:rPr>
        <w:t xml:space="preserve"> the UE reinitiates the preamble transmission at T2. After T2+3, the UE receives a RAR. From the base station side, the base station receives the preamble transmission later due to the large propagation delay in </w:t>
      </w:r>
      <w:r>
        <w:rPr>
          <w:sz w:val="24"/>
          <w:szCs w:val="24"/>
        </w:rPr>
        <w:t xml:space="preserve">the </w:t>
      </w:r>
      <w:r w:rsidRPr="0079677F">
        <w:rPr>
          <w:sz w:val="24"/>
          <w:szCs w:val="24"/>
        </w:rPr>
        <w:t>satellite network</w:t>
      </w:r>
      <w:r>
        <w:rPr>
          <w:sz w:val="24"/>
          <w:szCs w:val="24"/>
        </w:rPr>
        <w:t xml:space="preserve"> (i.e. at T1+6)</w:t>
      </w:r>
      <w:r w:rsidRPr="0079677F">
        <w:rPr>
          <w:sz w:val="24"/>
          <w:szCs w:val="24"/>
        </w:rPr>
        <w:t xml:space="preserve">. The base station transmits the RAR at </w:t>
      </w:r>
      <w:r>
        <w:rPr>
          <w:sz w:val="24"/>
          <w:szCs w:val="24"/>
        </w:rPr>
        <w:t xml:space="preserve">e.g. </w:t>
      </w:r>
      <w:r w:rsidRPr="0079677F">
        <w:rPr>
          <w:sz w:val="24"/>
          <w:szCs w:val="24"/>
        </w:rPr>
        <w:t>T1+</w:t>
      </w:r>
      <w:r>
        <w:rPr>
          <w:sz w:val="24"/>
          <w:szCs w:val="24"/>
        </w:rPr>
        <w:t>6+2</w:t>
      </w:r>
      <w:r w:rsidRPr="0079677F">
        <w:rPr>
          <w:sz w:val="24"/>
          <w:szCs w:val="24"/>
        </w:rPr>
        <w:t xml:space="preserve"> and the UE receives it at T1+</w:t>
      </w:r>
      <w:r>
        <w:rPr>
          <w:sz w:val="24"/>
          <w:szCs w:val="24"/>
        </w:rPr>
        <w:t>6+6+2</w:t>
      </w:r>
      <w:r w:rsidRPr="0079677F">
        <w:rPr>
          <w:sz w:val="24"/>
          <w:szCs w:val="24"/>
        </w:rPr>
        <w:t xml:space="preserve"> which also correspond</w:t>
      </w:r>
      <w:r>
        <w:rPr>
          <w:sz w:val="24"/>
          <w:szCs w:val="24"/>
        </w:rPr>
        <w:t>s</w:t>
      </w:r>
      <w:r w:rsidRPr="0079677F">
        <w:rPr>
          <w:sz w:val="24"/>
          <w:szCs w:val="24"/>
        </w:rPr>
        <w:t xml:space="preserve"> to the T2+3. </w:t>
      </w:r>
      <w:r>
        <w:rPr>
          <w:sz w:val="24"/>
          <w:szCs w:val="24"/>
        </w:rPr>
        <w:t>Because the eNB does not know which PRACH preamble the UE will use in its PRACH retransmission (but the eNB does know when the UE will retransmit), the RAR contains an uplink grant allocation for each of the 4 possible preambles (</w:t>
      </w:r>
      <w:r w:rsidRPr="00530460">
        <w:rPr>
          <w:sz w:val="24"/>
          <w:szCs w:val="24"/>
        </w:rPr>
        <w:t>numberOfRA-Preambles</w:t>
      </w:r>
      <w:r>
        <w:rPr>
          <w:sz w:val="24"/>
          <w:szCs w:val="24"/>
        </w:rPr>
        <w:t xml:space="preserve">) that the UE could have retransmitted. </w:t>
      </w:r>
      <w:r w:rsidRPr="0079677F">
        <w:rPr>
          <w:sz w:val="24"/>
          <w:szCs w:val="24"/>
        </w:rPr>
        <w:t xml:space="preserve">Considering small cell size, the UE location within a cell does not have a significant contribution to the propagation delay. The timing advance differences are calculated following the 3GPP procedure and the known information at the base station. </w:t>
      </w:r>
    </w:p>
    <w:p w14:paraId="5512AC71" w14:textId="77777777" w:rsidR="002D2A6E" w:rsidRPr="00C60BBA" w:rsidRDefault="002D2A6E" w:rsidP="002D2A6E">
      <w:pPr>
        <w:jc w:val="both"/>
      </w:pPr>
    </w:p>
    <w:p w14:paraId="486E494F" w14:textId="77777777" w:rsidR="002D2A6E" w:rsidRPr="00147A47" w:rsidRDefault="002D2A6E" w:rsidP="002D2A6E">
      <w:pPr>
        <w:rPr>
          <w:b/>
          <w:bCs/>
        </w:rPr>
      </w:pPr>
    </w:p>
    <w:p w14:paraId="49FF48DF" w14:textId="77777777" w:rsidR="002D2A6E" w:rsidRDefault="002D2A6E" w:rsidP="002D2A6E">
      <w:r>
        <w:object w:dxaOrig="10061" w:dyaOrig="5161" w14:anchorId="25E3F4E5">
          <v:shape id="_x0000_i1026" type="#_x0000_t75" style="width:453.75pt;height:230.25pt" o:ole="">
            <v:imagedata r:id="rId9" o:title=""/>
          </v:shape>
          <o:OLEObject Type="Embed" ProgID="Visio.Drawing.15" ShapeID="_x0000_i1026" DrawAspect="Content" ObjectID="_1738137265" r:id="rId10"/>
        </w:object>
      </w:r>
    </w:p>
    <w:p w14:paraId="619B5F70" w14:textId="77777777" w:rsidR="002D2A6E" w:rsidRPr="002D2A6E" w:rsidRDefault="002D2A6E" w:rsidP="002D2A6E">
      <w:pPr>
        <w:rPr>
          <w:b/>
          <w:bCs/>
          <w:sz w:val="24"/>
          <w:szCs w:val="24"/>
        </w:rPr>
      </w:pPr>
      <w:r w:rsidRPr="002D2A6E">
        <w:rPr>
          <w:b/>
          <w:bCs/>
          <w:sz w:val="24"/>
          <w:szCs w:val="24"/>
        </w:rPr>
        <w:t>Figure 2: An example of RA procedure seen for communication via a satellite system</w:t>
      </w:r>
    </w:p>
    <w:p w14:paraId="20A93005" w14:textId="77777777" w:rsidR="002D2A6E" w:rsidRPr="00816CFF" w:rsidRDefault="002D2A6E" w:rsidP="002D2A6E">
      <w:pPr>
        <w:jc w:val="both"/>
        <w:rPr>
          <w:sz w:val="24"/>
          <w:szCs w:val="24"/>
        </w:rPr>
      </w:pPr>
      <w:r w:rsidRPr="00816CFF">
        <w:rPr>
          <w:sz w:val="24"/>
          <w:szCs w:val="24"/>
        </w:rPr>
        <w:t>Note that the use of the small cells means that the PRACH load is smaller than the values in table 7.2.1.1.1.1-2: of TR 38.821. With intelligent encoding of message 2, the use of a restricted set of PRACH preambles has little impact on Random Access capacity, although it does increase the chance that message 4 contention resolution is occasionally used.</w:t>
      </w:r>
    </w:p>
    <w:p w14:paraId="15A3EB9D" w14:textId="77777777" w:rsidR="002D2A6E" w:rsidRDefault="002D2A6E" w:rsidP="002D2A6E"/>
    <w:p w14:paraId="4C929790" w14:textId="77777777" w:rsidR="002D2A6E" w:rsidRPr="00FE0D35" w:rsidRDefault="002D2A6E" w:rsidP="002D2A6E">
      <w:pPr>
        <w:rPr>
          <w:rFonts w:ascii="Arial" w:hAnsi="Arial" w:cs="Arial"/>
          <w:sz w:val="28"/>
          <w:szCs w:val="28"/>
        </w:rPr>
      </w:pPr>
      <w:r>
        <w:rPr>
          <w:rFonts w:ascii="Arial" w:hAnsi="Arial" w:cs="Arial"/>
          <w:sz w:val="28"/>
          <w:szCs w:val="28"/>
        </w:rPr>
        <w:t xml:space="preserve">2.3 </w:t>
      </w:r>
      <w:r w:rsidRPr="00FE0D35">
        <w:rPr>
          <w:rFonts w:ascii="Arial" w:hAnsi="Arial" w:cs="Arial"/>
          <w:sz w:val="28"/>
          <w:szCs w:val="28"/>
        </w:rPr>
        <w:t>HARQ operation</w:t>
      </w:r>
    </w:p>
    <w:p w14:paraId="2ECD4BA0" w14:textId="77777777" w:rsidR="002D2A6E" w:rsidRDefault="002D2A6E" w:rsidP="00ED66FA">
      <w:pPr>
        <w:jc w:val="both"/>
        <w:rPr>
          <w:noProof/>
          <w:sz w:val="24"/>
          <w:szCs w:val="24"/>
        </w:rPr>
      </w:pPr>
      <w:r>
        <w:rPr>
          <w:noProof/>
          <w:sz w:val="24"/>
          <w:szCs w:val="24"/>
        </w:rPr>
        <w:t>As LTE has a fixed “n+4” timing for the reception of HARQ ACK/NACK, and (with a 600 km high LEO) the UE-satellite-eNB propagation one way delay is &gt;4ms, it is useful to be able to disable automatic HARQ retransmissions by the UE.</w:t>
      </w:r>
    </w:p>
    <w:p w14:paraId="14DB0A93" w14:textId="77777777" w:rsidR="002D2A6E" w:rsidRDefault="002D2A6E" w:rsidP="00ED66FA">
      <w:pPr>
        <w:jc w:val="both"/>
        <w:rPr>
          <w:noProof/>
          <w:sz w:val="24"/>
          <w:szCs w:val="24"/>
        </w:rPr>
      </w:pPr>
      <w:r w:rsidRPr="00FE0D35">
        <w:rPr>
          <w:noProof/>
          <w:sz w:val="24"/>
          <w:szCs w:val="24"/>
        </w:rPr>
        <w:t xml:space="preserve">HARQ transmission in uplink is controlled by </w:t>
      </w:r>
      <w:r>
        <w:rPr>
          <w:noProof/>
          <w:sz w:val="24"/>
          <w:szCs w:val="24"/>
        </w:rPr>
        <w:t xml:space="preserve">two </w:t>
      </w:r>
      <w:r w:rsidRPr="00FE0D35">
        <w:rPr>
          <w:noProof/>
          <w:sz w:val="24"/>
          <w:szCs w:val="24"/>
        </w:rPr>
        <w:t>configurable parameter</w:t>
      </w:r>
      <w:r>
        <w:rPr>
          <w:noProof/>
          <w:sz w:val="24"/>
          <w:szCs w:val="24"/>
        </w:rPr>
        <w:t>s:</w:t>
      </w:r>
    </w:p>
    <w:p w14:paraId="32316DE3" w14:textId="77777777" w:rsidR="002D2A6E" w:rsidRDefault="002D2A6E" w:rsidP="00ED66FA">
      <w:pPr>
        <w:jc w:val="both"/>
        <w:rPr>
          <w:noProof/>
          <w:sz w:val="24"/>
          <w:szCs w:val="24"/>
        </w:rPr>
      </w:pPr>
      <w:r>
        <w:rPr>
          <w:noProof/>
          <w:sz w:val="24"/>
          <w:szCs w:val="24"/>
        </w:rPr>
        <w:t>-</w:t>
      </w:r>
      <w:r w:rsidRPr="00FE0D35">
        <w:rPr>
          <w:noProof/>
          <w:sz w:val="24"/>
          <w:szCs w:val="24"/>
        </w:rPr>
        <w:t xml:space="preserve"> the maximum number of transmissions </w:t>
      </w:r>
      <w:r w:rsidRPr="00FE0D35">
        <w:rPr>
          <w:i/>
          <w:sz w:val="24"/>
          <w:szCs w:val="24"/>
        </w:rPr>
        <w:t>maxHARQ-Tx</w:t>
      </w:r>
      <w:r>
        <w:rPr>
          <w:i/>
          <w:sz w:val="24"/>
          <w:szCs w:val="24"/>
        </w:rPr>
        <w:t>,</w:t>
      </w:r>
      <w:r w:rsidRPr="00FE0D35">
        <w:rPr>
          <w:noProof/>
          <w:sz w:val="24"/>
          <w:szCs w:val="24"/>
        </w:rPr>
        <w:t xml:space="preserve"> and</w:t>
      </w:r>
    </w:p>
    <w:p w14:paraId="2D51780E" w14:textId="77777777" w:rsidR="002D2A6E" w:rsidRDefault="002D2A6E" w:rsidP="00ED66FA">
      <w:pPr>
        <w:jc w:val="both"/>
        <w:rPr>
          <w:noProof/>
          <w:sz w:val="24"/>
          <w:szCs w:val="24"/>
        </w:rPr>
      </w:pPr>
      <w:r>
        <w:rPr>
          <w:noProof/>
          <w:sz w:val="24"/>
          <w:szCs w:val="24"/>
        </w:rPr>
        <w:t xml:space="preserve">- </w:t>
      </w:r>
      <w:r w:rsidRPr="00FE0D35">
        <w:rPr>
          <w:noProof/>
          <w:sz w:val="24"/>
          <w:szCs w:val="24"/>
        </w:rPr>
        <w:t xml:space="preserve"> maxHARQ-Msg3Tx for a transmission of a MAC PDU stored in the </w:t>
      </w:r>
      <w:r w:rsidRPr="00FE0D35">
        <w:rPr>
          <w:sz w:val="24"/>
          <w:szCs w:val="24"/>
        </w:rPr>
        <w:t>Msg3</w:t>
      </w:r>
      <w:r w:rsidRPr="00FE0D35">
        <w:rPr>
          <w:noProof/>
          <w:sz w:val="24"/>
          <w:szCs w:val="24"/>
        </w:rPr>
        <w:t xml:space="preserve"> buffer. </w:t>
      </w:r>
    </w:p>
    <w:p w14:paraId="29777BB7" w14:textId="77777777" w:rsidR="002D2A6E" w:rsidRPr="00FE0D35" w:rsidRDefault="002D2A6E" w:rsidP="00ED66FA">
      <w:pPr>
        <w:jc w:val="both"/>
        <w:rPr>
          <w:noProof/>
          <w:sz w:val="24"/>
          <w:szCs w:val="24"/>
        </w:rPr>
      </w:pPr>
      <w:r w:rsidRPr="00FE0D35">
        <w:rPr>
          <w:noProof/>
          <w:sz w:val="24"/>
          <w:szCs w:val="24"/>
        </w:rPr>
        <w:t>The</w:t>
      </w:r>
      <w:r>
        <w:rPr>
          <w:noProof/>
          <w:sz w:val="24"/>
          <w:szCs w:val="24"/>
        </w:rPr>
        <w:t xml:space="preserve"> </w:t>
      </w:r>
      <w:r w:rsidRPr="00FE0D35">
        <w:rPr>
          <w:i/>
          <w:sz w:val="24"/>
          <w:szCs w:val="24"/>
        </w:rPr>
        <w:t>maxHARQ-Tx</w:t>
      </w:r>
      <w:r w:rsidRPr="00FE0D35">
        <w:rPr>
          <w:noProof/>
          <w:sz w:val="24"/>
          <w:szCs w:val="24"/>
        </w:rPr>
        <w:t xml:space="preserve"> </w:t>
      </w:r>
      <w:r>
        <w:rPr>
          <w:noProof/>
          <w:sz w:val="24"/>
          <w:szCs w:val="24"/>
        </w:rPr>
        <w:t xml:space="preserve">and </w:t>
      </w:r>
      <w:r w:rsidRPr="00FE0D35">
        <w:rPr>
          <w:noProof/>
          <w:sz w:val="24"/>
          <w:szCs w:val="24"/>
        </w:rPr>
        <w:t xml:space="preserve">maxHARQ-Msg3Tx are set to 1 for communication over satellite </w:t>
      </w:r>
      <w:r>
        <w:rPr>
          <w:noProof/>
          <w:sz w:val="24"/>
          <w:szCs w:val="24"/>
        </w:rPr>
        <w:t>with</w:t>
      </w:r>
      <w:r w:rsidRPr="00FE0D35">
        <w:rPr>
          <w:noProof/>
          <w:sz w:val="24"/>
          <w:szCs w:val="24"/>
        </w:rPr>
        <w:t xml:space="preserve"> a</w:t>
      </w:r>
      <w:r>
        <w:rPr>
          <w:noProof/>
          <w:sz w:val="24"/>
          <w:szCs w:val="24"/>
        </w:rPr>
        <w:t>n</w:t>
      </w:r>
      <w:r w:rsidRPr="00FE0D35">
        <w:rPr>
          <w:noProof/>
          <w:sz w:val="24"/>
          <w:szCs w:val="24"/>
        </w:rPr>
        <w:t xml:space="preserve"> unmodified UE.</w:t>
      </w:r>
    </w:p>
    <w:p w14:paraId="67D1F205" w14:textId="77777777" w:rsidR="002D2A6E" w:rsidRPr="00FE0D35" w:rsidRDefault="002D2A6E" w:rsidP="00ED66FA">
      <w:pPr>
        <w:jc w:val="both"/>
        <w:rPr>
          <w:noProof/>
          <w:sz w:val="24"/>
          <w:szCs w:val="24"/>
        </w:rPr>
      </w:pPr>
      <w:r w:rsidRPr="00FE0D35">
        <w:rPr>
          <w:noProof/>
          <w:sz w:val="24"/>
          <w:szCs w:val="24"/>
        </w:rPr>
        <w:t xml:space="preserve">For downlink, the basestation controls the HARQ retransmission </w:t>
      </w:r>
      <w:r>
        <w:rPr>
          <w:noProof/>
          <w:sz w:val="24"/>
          <w:szCs w:val="24"/>
        </w:rPr>
        <w:t>process and the eNB does not send HARQ retransmissions.T</w:t>
      </w:r>
      <w:r w:rsidRPr="00FE0D35">
        <w:rPr>
          <w:noProof/>
          <w:sz w:val="24"/>
          <w:szCs w:val="24"/>
        </w:rPr>
        <w:t xml:space="preserve">he UE is informed of the new transmission by </w:t>
      </w:r>
      <w:r>
        <w:rPr>
          <w:noProof/>
          <w:sz w:val="24"/>
          <w:szCs w:val="24"/>
        </w:rPr>
        <w:t xml:space="preserve">the eNB </w:t>
      </w:r>
      <w:r w:rsidRPr="00FE0D35">
        <w:rPr>
          <w:noProof/>
          <w:sz w:val="24"/>
          <w:szCs w:val="24"/>
        </w:rPr>
        <w:t xml:space="preserve">toggling </w:t>
      </w:r>
      <w:r>
        <w:rPr>
          <w:noProof/>
          <w:sz w:val="24"/>
          <w:szCs w:val="24"/>
        </w:rPr>
        <w:t xml:space="preserve">the </w:t>
      </w:r>
      <w:r w:rsidRPr="00FE0D35">
        <w:rPr>
          <w:noProof/>
          <w:sz w:val="24"/>
          <w:szCs w:val="24"/>
        </w:rPr>
        <w:t>New Data Indicator (NDI bit) in PDCCH.</w:t>
      </w:r>
    </w:p>
    <w:p w14:paraId="7C3EA226" w14:textId="77777777" w:rsidR="002D2A6E" w:rsidRDefault="002D2A6E" w:rsidP="002D2A6E"/>
    <w:p w14:paraId="09DF8112" w14:textId="77777777" w:rsidR="002D2A6E" w:rsidRPr="00855737" w:rsidRDefault="002D2A6E" w:rsidP="002D2A6E">
      <w:pPr>
        <w:rPr>
          <w:rFonts w:ascii="Arial" w:hAnsi="Arial" w:cs="Arial"/>
          <w:sz w:val="28"/>
          <w:szCs w:val="28"/>
        </w:rPr>
      </w:pPr>
      <w:r>
        <w:rPr>
          <w:rFonts w:ascii="Arial" w:hAnsi="Arial" w:cs="Arial"/>
          <w:sz w:val="28"/>
          <w:szCs w:val="28"/>
        </w:rPr>
        <w:t xml:space="preserve">2.4 </w:t>
      </w:r>
      <w:r w:rsidRPr="00855737">
        <w:rPr>
          <w:rFonts w:ascii="Arial" w:hAnsi="Arial" w:cs="Arial"/>
          <w:sz w:val="28"/>
          <w:szCs w:val="28"/>
        </w:rPr>
        <w:t xml:space="preserve">Mobility </w:t>
      </w:r>
    </w:p>
    <w:p w14:paraId="5E674D5A" w14:textId="77777777" w:rsidR="002D2A6E" w:rsidRPr="00CF2D65" w:rsidRDefault="002D2A6E" w:rsidP="00ED66FA">
      <w:pPr>
        <w:jc w:val="both"/>
        <w:rPr>
          <w:sz w:val="24"/>
          <w:szCs w:val="24"/>
        </w:rPr>
      </w:pPr>
      <w:r>
        <w:rPr>
          <w:sz w:val="24"/>
          <w:szCs w:val="24"/>
        </w:rPr>
        <w:t>E</w:t>
      </w:r>
      <w:r w:rsidRPr="00CF2D65">
        <w:rPr>
          <w:sz w:val="24"/>
          <w:szCs w:val="24"/>
        </w:rPr>
        <w:t xml:space="preserve">arth fixed beams </w:t>
      </w:r>
      <w:r>
        <w:rPr>
          <w:sz w:val="24"/>
          <w:szCs w:val="24"/>
        </w:rPr>
        <w:t>are</w:t>
      </w:r>
      <w:r w:rsidRPr="00CF2D65">
        <w:rPr>
          <w:sz w:val="24"/>
          <w:szCs w:val="24"/>
        </w:rPr>
        <w:t xml:space="preserve"> used</w:t>
      </w:r>
      <w:r>
        <w:rPr>
          <w:sz w:val="24"/>
          <w:szCs w:val="24"/>
        </w:rPr>
        <w:t>.</w:t>
      </w:r>
      <w:r w:rsidRPr="00EA183A">
        <w:rPr>
          <w:sz w:val="24"/>
          <w:szCs w:val="24"/>
        </w:rPr>
        <w:t xml:space="preserve"> </w:t>
      </w:r>
      <w:r w:rsidRPr="00CF2D65">
        <w:rPr>
          <w:sz w:val="24"/>
          <w:szCs w:val="24"/>
        </w:rPr>
        <w:t xml:space="preserve">Where the satellite directs the beams formed on the ground to remain in a single location as the satellite moves. As the satellite moves away from the corresponding cell, </w:t>
      </w:r>
      <w:r>
        <w:rPr>
          <w:sz w:val="24"/>
          <w:szCs w:val="24"/>
        </w:rPr>
        <w:t xml:space="preserve">a </w:t>
      </w:r>
      <w:r w:rsidRPr="00CF2D65">
        <w:rPr>
          <w:sz w:val="24"/>
          <w:szCs w:val="24"/>
        </w:rPr>
        <w:t xml:space="preserve">service link switch is performed from one </w:t>
      </w:r>
      <w:r>
        <w:rPr>
          <w:sz w:val="24"/>
          <w:szCs w:val="24"/>
        </w:rPr>
        <w:t xml:space="preserve">satellite </w:t>
      </w:r>
      <w:r w:rsidRPr="00CF2D65">
        <w:rPr>
          <w:sz w:val="24"/>
          <w:szCs w:val="24"/>
        </w:rPr>
        <w:t xml:space="preserve">payload to another </w:t>
      </w:r>
      <w:r>
        <w:rPr>
          <w:sz w:val="24"/>
          <w:szCs w:val="24"/>
        </w:rPr>
        <w:t xml:space="preserve">satellite </w:t>
      </w:r>
      <w:r w:rsidRPr="00CF2D65">
        <w:rPr>
          <w:sz w:val="24"/>
          <w:szCs w:val="24"/>
        </w:rPr>
        <w:t xml:space="preserve">payload. </w:t>
      </w:r>
    </w:p>
    <w:p w14:paraId="3C0F7047" w14:textId="77777777" w:rsidR="002D2A6E" w:rsidRPr="00CF2D65" w:rsidRDefault="002D2A6E" w:rsidP="002D2A6E">
      <w:pPr>
        <w:rPr>
          <w:sz w:val="24"/>
          <w:szCs w:val="24"/>
        </w:rPr>
      </w:pPr>
    </w:p>
    <w:p w14:paraId="375333ED" w14:textId="22ADBD12" w:rsidR="002D2A6E" w:rsidRDefault="002D2A6E" w:rsidP="002D2A6E">
      <w:r>
        <w:fldChar w:fldCharType="begin"/>
      </w:r>
      <w:r>
        <w:fldChar w:fldCharType="separate"/>
      </w:r>
      <w:r>
        <w:rPr>
          <w:noProof/>
        </w:rPr>
        <w:drawing>
          <wp:inline distT="0" distB="0" distL="0" distR="0" wp14:anchorId="3536C404" wp14:editId="065FC24D">
            <wp:extent cx="5396865" cy="20129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96865" cy="2012950"/>
                    </a:xfrm>
                    <a:prstGeom prst="rect">
                      <a:avLst/>
                    </a:prstGeom>
                    <a:noFill/>
                    <a:ln>
                      <a:noFill/>
                    </a:ln>
                  </pic:spPr>
                </pic:pic>
              </a:graphicData>
            </a:graphic>
          </wp:inline>
        </w:drawing>
      </w:r>
      <w:r>
        <w:fldChar w:fldCharType="end"/>
      </w:r>
      <w:r>
        <w:object w:dxaOrig="8491" w:dyaOrig="3111" w14:anchorId="110AAA98">
          <v:shape id="_x0000_i1027" type="#_x0000_t75" style="width:425.25pt;height:158.25pt" o:ole="">
            <v:imagedata r:id="rId12" o:title=""/>
          </v:shape>
          <o:OLEObject Type="Embed" ProgID="Visio.Drawing.15" ShapeID="_x0000_i1027" DrawAspect="Content" ObjectID="_1738137266" r:id="rId13"/>
        </w:object>
      </w:r>
    </w:p>
    <w:p w14:paraId="0DFBE6AA" w14:textId="77777777" w:rsidR="002D2A6E" w:rsidRPr="00776D2D" w:rsidRDefault="002D2A6E" w:rsidP="002D2A6E">
      <w:pPr>
        <w:jc w:val="both"/>
        <w:rPr>
          <w:b/>
          <w:bCs/>
          <w:sz w:val="24"/>
          <w:szCs w:val="24"/>
        </w:rPr>
      </w:pPr>
      <w:r w:rsidRPr="00776D2D">
        <w:rPr>
          <w:b/>
          <w:bCs/>
          <w:sz w:val="24"/>
          <w:szCs w:val="24"/>
        </w:rPr>
        <w:t xml:space="preserve">Figure </w:t>
      </w:r>
      <w:r>
        <w:rPr>
          <w:b/>
          <w:bCs/>
          <w:sz w:val="24"/>
          <w:szCs w:val="24"/>
        </w:rPr>
        <w:t>3</w:t>
      </w:r>
      <w:r w:rsidRPr="00776D2D">
        <w:rPr>
          <w:b/>
          <w:bCs/>
          <w:sz w:val="24"/>
          <w:szCs w:val="24"/>
        </w:rPr>
        <w:t xml:space="preserve">:  </w:t>
      </w:r>
      <w:r>
        <w:rPr>
          <w:b/>
          <w:bCs/>
          <w:sz w:val="24"/>
          <w:szCs w:val="24"/>
        </w:rPr>
        <w:t>An</w:t>
      </w:r>
      <w:r w:rsidRPr="00776D2D">
        <w:rPr>
          <w:b/>
          <w:bCs/>
          <w:sz w:val="24"/>
          <w:szCs w:val="24"/>
        </w:rPr>
        <w:t xml:space="preserve"> illustration of </w:t>
      </w:r>
      <w:r>
        <w:rPr>
          <w:b/>
          <w:bCs/>
          <w:sz w:val="24"/>
          <w:szCs w:val="24"/>
        </w:rPr>
        <w:t>earth fixed beam</w:t>
      </w:r>
    </w:p>
    <w:p w14:paraId="13CCB9E3" w14:textId="77777777" w:rsidR="002D2A6E" w:rsidRDefault="002D2A6E" w:rsidP="002D2A6E">
      <w:pPr>
        <w:rPr>
          <w:sz w:val="24"/>
          <w:szCs w:val="24"/>
        </w:rPr>
      </w:pPr>
    </w:p>
    <w:p w14:paraId="300400CC" w14:textId="77777777" w:rsidR="002D2A6E" w:rsidRPr="00223579" w:rsidRDefault="002D2A6E" w:rsidP="002D2A6E">
      <w:pPr>
        <w:rPr>
          <w:sz w:val="24"/>
          <w:szCs w:val="24"/>
        </w:rPr>
      </w:pPr>
      <w:r w:rsidRPr="00223579">
        <w:rPr>
          <w:sz w:val="24"/>
          <w:szCs w:val="24"/>
        </w:rPr>
        <w:t>The same principles as described in section 10.1.1</w:t>
      </w:r>
      <w:r>
        <w:rPr>
          <w:sz w:val="24"/>
          <w:szCs w:val="24"/>
        </w:rPr>
        <w:t xml:space="preserve">: Mobility management in ECM_IDLE </w:t>
      </w:r>
      <w:r w:rsidRPr="00223579">
        <w:rPr>
          <w:sz w:val="24"/>
          <w:szCs w:val="24"/>
        </w:rPr>
        <w:t xml:space="preserve">of </w:t>
      </w:r>
      <w:r>
        <w:rPr>
          <w:sz w:val="24"/>
          <w:szCs w:val="24"/>
        </w:rPr>
        <w:t xml:space="preserve">TS 36.300 </w:t>
      </w:r>
      <w:r w:rsidRPr="00223579">
        <w:rPr>
          <w:sz w:val="24"/>
          <w:szCs w:val="24"/>
        </w:rPr>
        <w:t>[</w:t>
      </w:r>
      <w:r>
        <w:rPr>
          <w:sz w:val="24"/>
          <w:szCs w:val="24"/>
        </w:rPr>
        <w:t>2</w:t>
      </w:r>
      <w:r w:rsidRPr="00223579">
        <w:rPr>
          <w:sz w:val="24"/>
          <w:szCs w:val="24"/>
        </w:rPr>
        <w:t>] apply to mobility in RRC_IDLE.</w:t>
      </w:r>
    </w:p>
    <w:p w14:paraId="249F68F4" w14:textId="77777777" w:rsidR="002D2A6E" w:rsidRPr="00223579" w:rsidRDefault="002D2A6E" w:rsidP="002D2A6E">
      <w:pPr>
        <w:rPr>
          <w:sz w:val="24"/>
          <w:szCs w:val="24"/>
        </w:rPr>
      </w:pPr>
      <w:r w:rsidRPr="00223579">
        <w:rPr>
          <w:sz w:val="24"/>
          <w:szCs w:val="24"/>
        </w:rPr>
        <w:t>The same principles as described in section 10.1.2</w:t>
      </w:r>
      <w:r>
        <w:rPr>
          <w:sz w:val="24"/>
          <w:szCs w:val="24"/>
        </w:rPr>
        <w:t xml:space="preserve">: Mobility management in ECM_CONNECTED </w:t>
      </w:r>
      <w:r w:rsidRPr="00223579">
        <w:rPr>
          <w:sz w:val="24"/>
          <w:szCs w:val="24"/>
        </w:rPr>
        <w:t xml:space="preserve">of </w:t>
      </w:r>
      <w:r>
        <w:rPr>
          <w:sz w:val="24"/>
          <w:szCs w:val="24"/>
        </w:rPr>
        <w:t xml:space="preserve">TS 36.300 </w:t>
      </w:r>
      <w:r w:rsidRPr="00223579">
        <w:rPr>
          <w:sz w:val="24"/>
          <w:szCs w:val="24"/>
        </w:rPr>
        <w:t>[</w:t>
      </w:r>
      <w:r>
        <w:rPr>
          <w:sz w:val="24"/>
          <w:szCs w:val="24"/>
        </w:rPr>
        <w:t>2</w:t>
      </w:r>
      <w:r w:rsidRPr="00223579">
        <w:rPr>
          <w:sz w:val="24"/>
          <w:szCs w:val="24"/>
        </w:rPr>
        <w:t>] apply to mobility in RRC_Connected.</w:t>
      </w:r>
    </w:p>
    <w:p w14:paraId="128A2020" w14:textId="77777777" w:rsidR="002D2A6E" w:rsidRPr="00520918" w:rsidRDefault="002D2A6E" w:rsidP="002D2A6E">
      <w:pPr>
        <w:jc w:val="both"/>
        <w:rPr>
          <w:sz w:val="24"/>
          <w:szCs w:val="24"/>
        </w:rPr>
      </w:pPr>
      <w:r w:rsidRPr="00520918">
        <w:rPr>
          <w:sz w:val="24"/>
          <w:szCs w:val="24"/>
        </w:rPr>
        <w:t xml:space="preserve">With a relatively stationary mobile, the UE will need to use different satellites as one satellite “sets” and the next satellite “rises” above the horizon. If these two satellites use the same earth station, then this can be handled as if the two satellites are just different antennas (TRPs) of the same eNB (i.e. the two satellite broadcast the same PCI and SIBs). </w:t>
      </w:r>
      <w:r w:rsidRPr="00520918">
        <w:rPr>
          <w:i/>
          <w:iCs/>
          <w:sz w:val="24"/>
          <w:szCs w:val="24"/>
        </w:rPr>
        <w:t>{The eNB applies different doppler shift precorrections to the two satellites so that the 2 signals arrive at the UE on the same frequency</w:t>
      </w:r>
      <w:r>
        <w:rPr>
          <w:i/>
          <w:iCs/>
          <w:sz w:val="24"/>
          <w:szCs w:val="24"/>
        </w:rPr>
        <w:t>.</w:t>
      </w:r>
      <w:r w:rsidRPr="00520918">
        <w:rPr>
          <w:i/>
          <w:iCs/>
          <w:sz w:val="24"/>
          <w:szCs w:val="24"/>
        </w:rPr>
        <w:t>}</w:t>
      </w:r>
    </w:p>
    <w:p w14:paraId="57FF2A0A" w14:textId="77777777" w:rsidR="002D2A6E" w:rsidRPr="00520918" w:rsidRDefault="002D2A6E" w:rsidP="002D2A6E">
      <w:pPr>
        <w:jc w:val="both"/>
        <w:rPr>
          <w:sz w:val="24"/>
          <w:szCs w:val="24"/>
        </w:rPr>
      </w:pPr>
      <w:r w:rsidRPr="00520918">
        <w:rPr>
          <w:sz w:val="24"/>
          <w:szCs w:val="24"/>
        </w:rPr>
        <w:t>For a mobile that is physically moving, adjacent cells/beams on the earth have different PCIs and (whether the beams are from the same or different satellites), normal terrestrial handover procedures can be applied.</w:t>
      </w:r>
    </w:p>
    <w:p w14:paraId="72FCA73C" w14:textId="65E74B6E" w:rsidR="002D2A6E" w:rsidRDefault="002D2A6E" w:rsidP="002D2A6E">
      <w:pPr>
        <w:ind w:leftChars="-11" w:left="2" w:hangingChars="10" w:hanging="24"/>
        <w:jc w:val="both"/>
        <w:rPr>
          <w:b/>
          <w:bCs/>
          <w:sz w:val="24"/>
          <w:szCs w:val="24"/>
        </w:rPr>
      </w:pPr>
      <w:r>
        <w:rPr>
          <w:b/>
          <w:bCs/>
          <w:sz w:val="24"/>
          <w:szCs w:val="24"/>
        </w:rPr>
        <w:t>Proposal: RAN</w:t>
      </w:r>
      <w:r w:rsidR="00EA0498">
        <w:rPr>
          <w:b/>
          <w:bCs/>
          <w:sz w:val="24"/>
          <w:szCs w:val="24"/>
        </w:rPr>
        <w:t>1</w:t>
      </w:r>
      <w:r>
        <w:rPr>
          <w:b/>
          <w:bCs/>
          <w:sz w:val="24"/>
          <w:szCs w:val="24"/>
        </w:rPr>
        <w:t xml:space="preserve"> is requested to take the description of satellite communication to an unmodified UE into account when considering study towards IMT-2020 satellite system.</w:t>
      </w:r>
    </w:p>
    <w:p w14:paraId="61A88E53" w14:textId="77777777" w:rsidR="002D2A6E" w:rsidRDefault="002D2A6E" w:rsidP="002D2A6E">
      <w:pPr>
        <w:pStyle w:val="Heading1"/>
        <w:numPr>
          <w:ilvl w:val="0"/>
          <w:numId w:val="1"/>
        </w:numPr>
        <w:tabs>
          <w:tab w:val="num" w:pos="360"/>
        </w:tabs>
        <w:ind w:left="0" w:firstLine="0"/>
        <w:rPr>
          <w:rFonts w:eastAsia="SimSun" w:cs="Arial"/>
          <w:lang w:eastAsia="zh-CN"/>
        </w:rPr>
      </w:pPr>
      <w:r w:rsidRPr="597C9880">
        <w:rPr>
          <w:rFonts w:eastAsia="SimSun" w:cs="Arial"/>
          <w:lang w:eastAsia="zh-CN"/>
        </w:rPr>
        <w:t>Conclusion</w:t>
      </w:r>
    </w:p>
    <w:p w14:paraId="1A68E4CA" w14:textId="77777777" w:rsidR="002D2A6E" w:rsidRDefault="002D2A6E" w:rsidP="002D2A6E">
      <w:pPr>
        <w:rPr>
          <w:sz w:val="24"/>
          <w:szCs w:val="24"/>
          <w:lang w:eastAsia="zh-CN"/>
        </w:rPr>
      </w:pPr>
      <w:r w:rsidRPr="00C7264A">
        <w:rPr>
          <w:sz w:val="24"/>
          <w:szCs w:val="24"/>
          <w:lang w:eastAsia="zh-CN"/>
        </w:rPr>
        <w:t xml:space="preserve">This contribution </w:t>
      </w:r>
      <w:r>
        <w:rPr>
          <w:sz w:val="24"/>
          <w:szCs w:val="24"/>
          <w:lang w:eastAsia="zh-CN"/>
        </w:rPr>
        <w:t>describes an example of a satellite system providing access for a 3GPP unmodified UE using E-UTRAN system.</w:t>
      </w:r>
    </w:p>
    <w:p w14:paraId="451DDCAB" w14:textId="078E4C3E" w:rsidR="002D2A6E" w:rsidRDefault="002D2A6E" w:rsidP="002D2A6E">
      <w:pPr>
        <w:ind w:leftChars="-11" w:left="2" w:hangingChars="10" w:hanging="24"/>
        <w:jc w:val="both"/>
        <w:rPr>
          <w:b/>
          <w:bCs/>
          <w:sz w:val="24"/>
          <w:szCs w:val="24"/>
        </w:rPr>
      </w:pPr>
      <w:r>
        <w:rPr>
          <w:b/>
          <w:bCs/>
          <w:sz w:val="24"/>
          <w:szCs w:val="24"/>
        </w:rPr>
        <w:t>Proposal: RAN</w:t>
      </w:r>
      <w:r w:rsidR="00EA0498">
        <w:rPr>
          <w:b/>
          <w:bCs/>
          <w:sz w:val="24"/>
          <w:szCs w:val="24"/>
        </w:rPr>
        <w:t>1</w:t>
      </w:r>
      <w:r>
        <w:rPr>
          <w:b/>
          <w:bCs/>
          <w:sz w:val="24"/>
          <w:szCs w:val="24"/>
        </w:rPr>
        <w:t xml:space="preserve"> is requested to take the description of satellite communication to an unmodified UE into account when considering study towards IMT-2020 satellite system.</w:t>
      </w:r>
    </w:p>
    <w:p w14:paraId="25A76A4F" w14:textId="77777777" w:rsidR="002D2A6E" w:rsidRDefault="002D2A6E" w:rsidP="002D2A6E">
      <w:pPr>
        <w:rPr>
          <w:sz w:val="24"/>
          <w:szCs w:val="24"/>
          <w:lang w:eastAsia="zh-CN"/>
        </w:rPr>
      </w:pPr>
    </w:p>
    <w:p w14:paraId="22A6188A" w14:textId="77777777" w:rsidR="002D2A6E" w:rsidRDefault="002D2A6E" w:rsidP="002D2A6E">
      <w:pPr>
        <w:pStyle w:val="Heading1"/>
        <w:rPr>
          <w:rFonts w:eastAsia="SimSun" w:cs="Arial"/>
          <w:lang w:eastAsia="zh-CN"/>
        </w:rPr>
      </w:pPr>
      <w:r>
        <w:rPr>
          <w:rFonts w:eastAsia="SimSun" w:cs="Arial"/>
          <w:lang w:eastAsia="zh-CN"/>
        </w:rPr>
        <w:t>4.References</w:t>
      </w:r>
    </w:p>
    <w:p w14:paraId="590836AE" w14:textId="77777777" w:rsidR="002D2A6E" w:rsidRDefault="002D2A6E" w:rsidP="002D2A6E">
      <w:pPr>
        <w:rPr>
          <w:sz w:val="24"/>
          <w:szCs w:val="24"/>
        </w:rPr>
      </w:pPr>
      <w:r>
        <w:rPr>
          <w:sz w:val="24"/>
          <w:szCs w:val="24"/>
          <w:lang w:eastAsia="zh-CN"/>
        </w:rPr>
        <w:t xml:space="preserve">[1] </w:t>
      </w:r>
      <w:r>
        <w:rPr>
          <w:sz w:val="24"/>
          <w:szCs w:val="24"/>
        </w:rPr>
        <w:t>RP-223444, ‘Moderator’s summary: [98e-04-ITU-AH] ITU discussion’, 3GPP TSG RAN#98</w:t>
      </w:r>
    </w:p>
    <w:p w14:paraId="2B26952B" w14:textId="77777777" w:rsidR="002D2A6E" w:rsidRDefault="002D2A6E" w:rsidP="002D2A6E">
      <w:pPr>
        <w:rPr>
          <w:sz w:val="24"/>
          <w:szCs w:val="24"/>
        </w:rPr>
      </w:pPr>
      <w:r>
        <w:rPr>
          <w:sz w:val="24"/>
          <w:szCs w:val="24"/>
        </w:rPr>
        <w:lastRenderedPageBreak/>
        <w:t xml:space="preserve">[2] </w:t>
      </w:r>
      <w:r w:rsidRPr="009263C7">
        <w:rPr>
          <w:sz w:val="24"/>
          <w:szCs w:val="24"/>
        </w:rPr>
        <w:t>TS 36.300</w:t>
      </w:r>
      <w:r>
        <w:rPr>
          <w:sz w:val="24"/>
          <w:szCs w:val="24"/>
        </w:rPr>
        <w:t>, ‘3GPP TS 36.300: Evolved Universal Terrestrial Radio Access (E-UTRA) and Evolved Universal Terrestrial Radio Access Network (E-UTRAN), Overall description, Stage 2’</w:t>
      </w:r>
    </w:p>
    <w:p w14:paraId="023551F1" w14:textId="77777777" w:rsidR="002D2A6E" w:rsidRDefault="002D2A6E" w:rsidP="002D2A6E">
      <w:pPr>
        <w:rPr>
          <w:sz w:val="24"/>
          <w:szCs w:val="24"/>
          <w:lang w:eastAsia="zh-CN"/>
        </w:rPr>
      </w:pPr>
      <w:r>
        <w:rPr>
          <w:sz w:val="24"/>
          <w:szCs w:val="24"/>
        </w:rPr>
        <w:t>[3] Report ITU-R M.2514-0, ‘Vision, requirements and evaluation guidelines for satellite radio interface(s) of IMT-2020’</w:t>
      </w:r>
    </w:p>
    <w:p w14:paraId="52952A52" w14:textId="77777777" w:rsidR="002D2A6E" w:rsidRDefault="002D2A6E" w:rsidP="002D2A6E">
      <w:pPr>
        <w:rPr>
          <w:sz w:val="24"/>
          <w:szCs w:val="24"/>
        </w:rPr>
      </w:pPr>
      <w:r>
        <w:rPr>
          <w:sz w:val="24"/>
          <w:szCs w:val="24"/>
        </w:rPr>
        <w:t xml:space="preserve">[4] url for AST </w:t>
      </w:r>
      <w:r w:rsidRPr="00D4526D">
        <w:rPr>
          <w:sz w:val="24"/>
          <w:szCs w:val="24"/>
        </w:rPr>
        <w:t>https://ast-science.com/spacemobile-network/bluewalker-3/</w:t>
      </w:r>
    </w:p>
    <w:p w14:paraId="3F85663B" w14:textId="77777777" w:rsidR="002D2A6E" w:rsidRPr="00D81BED" w:rsidRDefault="002D2A6E" w:rsidP="002D2A6E">
      <w:pPr>
        <w:spacing w:after="0"/>
        <w:rPr>
          <w:rFonts w:ascii="Arial" w:eastAsia="Times New Roman" w:hAnsi="Arial" w:cs="Arial"/>
          <w:color w:val="000000"/>
          <w:sz w:val="18"/>
          <w:szCs w:val="18"/>
          <w:lang w:eastAsia="en-GB"/>
        </w:rPr>
      </w:pPr>
      <w:r>
        <w:rPr>
          <w:sz w:val="24"/>
          <w:szCs w:val="24"/>
        </w:rPr>
        <w:t xml:space="preserve">[5] </w:t>
      </w:r>
      <w:r w:rsidRPr="00D81BED">
        <w:rPr>
          <w:sz w:val="24"/>
          <w:szCs w:val="24"/>
        </w:rPr>
        <w:t>TS 36.211</w:t>
      </w:r>
      <w:r w:rsidRPr="008A6B86">
        <w:rPr>
          <w:sz w:val="24"/>
          <w:szCs w:val="24"/>
        </w:rPr>
        <w:t>, ‘</w:t>
      </w:r>
      <w:r w:rsidRPr="008A6B86">
        <w:rPr>
          <w:rFonts w:eastAsia="Times New Roman"/>
          <w:color w:val="000000"/>
          <w:sz w:val="24"/>
          <w:szCs w:val="24"/>
          <w:lang w:eastAsia="en-GB"/>
        </w:rPr>
        <w:t>Evolved Universal Terrestrial Radio Access (E-UTRA); Physical channels and modulation’</w:t>
      </w:r>
      <w:r>
        <w:rPr>
          <w:rFonts w:eastAsia="Times New Roman"/>
          <w:color w:val="000000"/>
          <w:sz w:val="24"/>
          <w:szCs w:val="24"/>
          <w:lang w:eastAsia="en-GB"/>
        </w:rPr>
        <w:t>.</w:t>
      </w:r>
    </w:p>
    <w:p w14:paraId="7BAFB920" w14:textId="77777777" w:rsidR="002D2A6E" w:rsidRDefault="002D2A6E" w:rsidP="002D2A6E">
      <w:pPr>
        <w:rPr>
          <w:color w:val="000000"/>
          <w:sz w:val="24"/>
          <w:szCs w:val="24"/>
        </w:rPr>
      </w:pPr>
      <w:r w:rsidRPr="008A6B86">
        <w:rPr>
          <w:sz w:val="24"/>
          <w:szCs w:val="24"/>
        </w:rPr>
        <w:t>[6] TS 36.331, ‘</w:t>
      </w:r>
      <w:r w:rsidRPr="008A6B86">
        <w:rPr>
          <w:color w:val="000000"/>
          <w:sz w:val="24"/>
          <w:szCs w:val="24"/>
        </w:rPr>
        <w:t>Evolved Universal Terrestrial Radio Access (E-UTRA); Radio Resource Control (RRC); Protocol specification’</w:t>
      </w:r>
      <w:r>
        <w:rPr>
          <w:color w:val="000000"/>
          <w:sz w:val="24"/>
          <w:szCs w:val="24"/>
        </w:rPr>
        <w:t>.</w:t>
      </w:r>
    </w:p>
    <w:p w14:paraId="1F5DFCB5" w14:textId="77777777" w:rsidR="002D2A6E" w:rsidRPr="008A6B86" w:rsidRDefault="002D2A6E" w:rsidP="002D2A6E">
      <w:pPr>
        <w:rPr>
          <w:sz w:val="24"/>
          <w:szCs w:val="24"/>
          <w:lang w:eastAsia="zh-CN"/>
        </w:rPr>
      </w:pPr>
      <w:r>
        <w:rPr>
          <w:color w:val="000000"/>
          <w:sz w:val="24"/>
          <w:szCs w:val="24"/>
        </w:rPr>
        <w:t xml:space="preserve">[7] Annex A: calculation of cell width vs </w:t>
      </w:r>
      <w:r w:rsidRPr="005033F0">
        <w:rPr>
          <w:color w:val="000000"/>
          <w:sz w:val="24"/>
          <w:szCs w:val="24"/>
        </w:rPr>
        <w:t>elevation angle.</w:t>
      </w:r>
    </w:p>
    <w:p w14:paraId="33DF3202" w14:textId="77777777" w:rsidR="00912F9A" w:rsidRDefault="0066443E"/>
    <w:sectPr w:rsidR="00912F9A">
      <w:footerReference w:type="default" r:id="rId1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F48658" w14:textId="77777777" w:rsidR="002D2A6E" w:rsidRDefault="002D2A6E" w:rsidP="002D2A6E">
      <w:pPr>
        <w:spacing w:after="0"/>
      </w:pPr>
      <w:r>
        <w:separator/>
      </w:r>
    </w:p>
  </w:endnote>
  <w:endnote w:type="continuationSeparator" w:id="0">
    <w:p w14:paraId="49EEC27A" w14:textId="77777777" w:rsidR="002D2A6E" w:rsidRDefault="002D2A6E" w:rsidP="002D2A6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5C010D" w14:textId="6E73E998" w:rsidR="002D2A6E" w:rsidRDefault="002D2A6E">
    <w:pPr>
      <w:pStyle w:val="Footer"/>
    </w:pPr>
    <w:r>
      <mc:AlternateContent>
        <mc:Choice Requires="wps">
          <w:drawing>
            <wp:anchor distT="0" distB="0" distL="114300" distR="114300" simplePos="0" relativeHeight="251658752" behindDoc="0" locked="0" layoutInCell="0" allowOverlap="1" wp14:anchorId="6FD55664" wp14:editId="7678A006">
              <wp:simplePos x="0" y="0"/>
              <wp:positionH relativeFrom="page">
                <wp:posOffset>0</wp:posOffset>
              </wp:positionH>
              <wp:positionV relativeFrom="page">
                <wp:posOffset>10227945</wp:posOffset>
              </wp:positionV>
              <wp:extent cx="7560310" cy="273050"/>
              <wp:effectExtent l="0" t="0" r="0" b="12700"/>
              <wp:wrapNone/>
              <wp:docPr id="2" name="MSIPCM519f45a494b4e8d212e777c1" descr="{&quot;HashCode&quot;:-1699574231,&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48CAA7B" w14:textId="27916F0F" w:rsidR="002D2A6E" w:rsidRPr="002D2A6E" w:rsidRDefault="002D2A6E" w:rsidP="002D2A6E">
                          <w:pPr>
                            <w:spacing w:after="0"/>
                            <w:rPr>
                              <w:rFonts w:ascii="Calibri" w:hAnsi="Calibri" w:cs="Calibri"/>
                              <w:color w:val="000000"/>
                              <w:sz w:val="14"/>
                            </w:rPr>
                          </w:pPr>
                          <w:r w:rsidRPr="002D2A6E">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6FD55664" id="_x0000_t202" coordsize="21600,21600" o:spt="202" path="m,l,21600r21600,l21600,xe">
              <v:stroke joinstyle="miter"/>
              <v:path gradientshapeok="t" o:connecttype="rect"/>
            </v:shapetype>
            <v:shape id="MSIPCM519f45a494b4e8d212e777c1" o:spid="_x0000_s1026" type="#_x0000_t202" alt="{&quot;HashCode&quot;:-1699574231,&quot;Height&quot;:841.0,&quot;Width&quot;:595.0,&quot;Placement&quot;:&quot;Footer&quot;,&quot;Index&quot;:&quot;Primary&quot;,&quot;Section&quot;:1,&quot;Top&quot;:0.0,&quot;Left&quot;:0.0}" style="position:absolute;left:0;text-align:left;margin-left:0;margin-top:805.35pt;width:595.3pt;height:21.5pt;z-index:251658752;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" o:allowincell="f" filled="f" stroked="f" strokeweight=".5pt">
              <v:textbox inset="20pt,0,,0">
                <w:txbxContent>
                  <w:p w14:paraId="048CAA7B" w14:textId="27916F0F" w:rsidR="002D2A6E" w:rsidRPr="002D2A6E" w:rsidRDefault="002D2A6E" w:rsidP="002D2A6E">
                    <w:pPr>
                      <w:spacing w:after="0"/>
                      <w:rPr>
                        <w:rFonts w:ascii="Calibri" w:hAnsi="Calibri" w:cs="Calibri"/>
                        <w:color w:val="000000"/>
                        <w:sz w:val="14"/>
                      </w:rPr>
                    </w:pPr>
                    <w:r w:rsidRPr="002D2A6E">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9B70CD" w14:textId="77777777" w:rsidR="002D2A6E" w:rsidRDefault="002D2A6E" w:rsidP="002D2A6E">
      <w:pPr>
        <w:spacing w:after="0"/>
      </w:pPr>
      <w:r>
        <w:separator/>
      </w:r>
    </w:p>
  </w:footnote>
  <w:footnote w:type="continuationSeparator" w:id="0">
    <w:p w14:paraId="7200104A" w14:textId="77777777" w:rsidR="002D2A6E" w:rsidRDefault="002D2A6E" w:rsidP="002D2A6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133521"/>
    <w:multiLevelType w:val="hybridMultilevel"/>
    <w:tmpl w:val="6B04CEA6"/>
    <w:lvl w:ilvl="0" w:tplc="4C280B36">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5480D7D"/>
    <w:multiLevelType w:val="hybridMultilevel"/>
    <w:tmpl w:val="AFBC438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2A6E"/>
    <w:rsid w:val="000E10B6"/>
    <w:rsid w:val="001C2343"/>
    <w:rsid w:val="002D2A6E"/>
    <w:rsid w:val="00597F6B"/>
    <w:rsid w:val="005C7192"/>
    <w:rsid w:val="005E72B0"/>
    <w:rsid w:val="0066443E"/>
    <w:rsid w:val="006D6021"/>
    <w:rsid w:val="00EA0498"/>
    <w:rsid w:val="00ED66F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2"/>
    </o:shapelayout>
  </w:shapeDefaults>
  <w:decimalSymbol w:val="."/>
  <w:listSeparator w:val=","/>
  <w14:docId w14:val="2F68825F"/>
  <w15:chartTrackingRefBased/>
  <w15:docId w15:val="{7EA04423-14C4-4B3A-9231-FF6C80B740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2A6E"/>
    <w:pPr>
      <w:spacing w:after="180" w:line="240" w:lineRule="auto"/>
    </w:pPr>
    <w:rPr>
      <w:rFonts w:ascii="Times New Roman" w:eastAsia="SimSun" w:hAnsi="Times New Roman" w:cs="Times New Roman"/>
      <w:sz w:val="20"/>
      <w:szCs w:val="20"/>
    </w:rPr>
  </w:style>
  <w:style w:type="paragraph" w:styleId="Heading1">
    <w:name w:val="heading 1"/>
    <w:aliases w:val="H1,h1"/>
    <w:next w:val="Normal"/>
    <w:link w:val="Heading1Char"/>
    <w:qFormat/>
    <w:rsid w:val="002D2A6E"/>
    <w:pPr>
      <w:keepNext/>
      <w:keepLines/>
      <w:pBdr>
        <w:top w:val="single" w:sz="12" w:space="3" w:color="auto"/>
      </w:pBdr>
      <w:spacing w:before="240" w:after="180" w:line="240" w:lineRule="auto"/>
      <w:outlineLvl w:val="0"/>
    </w:pPr>
    <w:rPr>
      <w:rFonts w:ascii="Arial" w:eastAsia="MS Mincho" w:hAnsi="Arial" w:cs="Times New Roman"/>
      <w:sz w:val="3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2D2A6E"/>
    <w:rPr>
      <w:rFonts w:ascii="Arial" w:eastAsia="MS Mincho" w:hAnsi="Arial" w:cs="Times New Roman"/>
      <w:sz w:val="32"/>
      <w:szCs w:val="20"/>
    </w:rPr>
  </w:style>
  <w:style w:type="paragraph" w:styleId="Footer">
    <w:name w:val="footer"/>
    <w:basedOn w:val="Header"/>
    <w:link w:val="FooterChar"/>
    <w:rsid w:val="002D2A6E"/>
    <w:pPr>
      <w:widowControl w:val="0"/>
      <w:tabs>
        <w:tab w:val="clear" w:pos="4513"/>
        <w:tab w:val="clear" w:pos="9026"/>
      </w:tabs>
      <w:jc w:val="center"/>
    </w:pPr>
    <w:rPr>
      <w:rFonts w:ascii="Arial" w:eastAsia="MS Mincho" w:hAnsi="Arial"/>
      <w:b/>
      <w:i/>
      <w:noProof/>
      <w:sz w:val="18"/>
    </w:rPr>
  </w:style>
  <w:style w:type="character" w:customStyle="1" w:styleId="FooterChar">
    <w:name w:val="Footer Char"/>
    <w:basedOn w:val="DefaultParagraphFont"/>
    <w:link w:val="Footer"/>
    <w:rsid w:val="002D2A6E"/>
    <w:rPr>
      <w:rFonts w:ascii="Arial" w:eastAsia="MS Mincho" w:hAnsi="Arial" w:cs="Times New Roman"/>
      <w:b/>
      <w:i/>
      <w:noProof/>
      <w:sz w:val="18"/>
      <w:szCs w:val="20"/>
    </w:rPr>
  </w:style>
  <w:style w:type="paragraph" w:customStyle="1" w:styleId="CRCoverPage">
    <w:name w:val="CR Cover Page"/>
    <w:link w:val="CRCoverPageZchn"/>
    <w:qFormat/>
    <w:rsid w:val="002D2A6E"/>
    <w:pPr>
      <w:spacing w:after="120" w:line="240" w:lineRule="auto"/>
    </w:pPr>
    <w:rPr>
      <w:rFonts w:ascii="Arial" w:eastAsia="MS Mincho" w:hAnsi="Arial" w:cs="Times New Roman"/>
      <w:sz w:val="20"/>
      <w:szCs w:val="20"/>
    </w:rPr>
  </w:style>
  <w:style w:type="paragraph" w:styleId="ListParagraph">
    <w:name w:val="List Paragraph"/>
    <w:aliases w:val="- Bullets,リスト段落,?? ??,?????,????,Lista1,列出段落1,中等深浅网格 1 - 着色 21,列表段落,목록 단락,¥¡¡¡¡ì¬º¥¹¥È¶ÎÂä,ÁÐ³ö¶ÎÂä,列表段落1,—ño’i—Ž,¥ê¥¹¥È¶ÎÂä,1st level - Bullet List Paragraph,Lettre d'introduction,Paragrafo elenco,Normal bullet 2,Bullet list"/>
    <w:basedOn w:val="Normal"/>
    <w:link w:val="ListParagraphChar"/>
    <w:uiPriority w:val="34"/>
    <w:qFormat/>
    <w:rsid w:val="002D2A6E"/>
    <w:pPr>
      <w:spacing w:after="160" w:line="256" w:lineRule="auto"/>
      <w:ind w:left="720"/>
      <w:contextualSpacing/>
    </w:pPr>
    <w:rPr>
      <w:rFonts w:ascii="Malgun Gothic" w:eastAsia="MS Mincho" w:hAnsi="Malgun Gothic"/>
      <w:sz w:val="22"/>
      <w:szCs w:val="22"/>
      <w:lang w:val="en-US" w:eastAsia="zh-CN"/>
    </w:rPr>
  </w:style>
  <w:style w:type="character" w:customStyle="1" w:styleId="ListParagraphChar">
    <w:name w:val="List Paragraph Char"/>
    <w:aliases w:val="- Bullets Char,リスト段落 Char,?? ?? Char,????? Char,???? Char,Lista1 Char,列出段落1 Char,中等深浅网格 1 - 着色 21 Char,列表段落 Char,목록 단락 Char,¥¡¡¡¡ì¬º¥¹¥È¶ÎÂä Char,ÁÐ³ö¶ÎÂä Char,列表段落1 Char,—ño’i—Ž Char,¥ê¥¹¥È¶ÎÂä Char,Lettre d'introduction Char"/>
    <w:link w:val="ListParagraph"/>
    <w:uiPriority w:val="34"/>
    <w:qFormat/>
    <w:rsid w:val="002D2A6E"/>
    <w:rPr>
      <w:rFonts w:ascii="Malgun Gothic" w:eastAsia="MS Mincho" w:hAnsi="Malgun Gothic" w:cs="Times New Roman"/>
      <w:lang w:val="en-US" w:eastAsia="zh-CN"/>
    </w:rPr>
  </w:style>
  <w:style w:type="character" w:customStyle="1" w:styleId="CRCoverPageZchn">
    <w:name w:val="CR Cover Page Zchn"/>
    <w:link w:val="CRCoverPage"/>
    <w:qFormat/>
    <w:locked/>
    <w:rsid w:val="002D2A6E"/>
    <w:rPr>
      <w:rFonts w:ascii="Arial" w:eastAsia="MS Mincho" w:hAnsi="Arial" w:cs="Times New Roman"/>
      <w:sz w:val="20"/>
      <w:szCs w:val="20"/>
    </w:rPr>
  </w:style>
  <w:style w:type="paragraph" w:styleId="Header">
    <w:name w:val="header"/>
    <w:basedOn w:val="Normal"/>
    <w:link w:val="HeaderChar"/>
    <w:uiPriority w:val="99"/>
    <w:unhideWhenUsed/>
    <w:rsid w:val="002D2A6E"/>
    <w:pPr>
      <w:tabs>
        <w:tab w:val="center" w:pos="4513"/>
        <w:tab w:val="right" w:pos="9026"/>
      </w:tabs>
      <w:spacing w:after="0"/>
    </w:pPr>
  </w:style>
  <w:style w:type="character" w:customStyle="1" w:styleId="HeaderChar">
    <w:name w:val="Header Char"/>
    <w:basedOn w:val="DefaultParagraphFont"/>
    <w:link w:val="Header"/>
    <w:uiPriority w:val="99"/>
    <w:rsid w:val="002D2A6E"/>
    <w:rPr>
      <w:rFonts w:ascii="Times New Roman" w:eastAsia="SimSu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package" Target="embeddings/Microsoft_Visio_Drawing2.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image" Target="media/image4.emf"/><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1544</Words>
  <Characters>8807</Characters>
  <Application>Microsoft Office Word</Application>
  <DocSecurity>0</DocSecurity>
  <Lines>73</Lines>
  <Paragraphs>20</Paragraphs>
  <ScaleCrop>false</ScaleCrop>
  <Company/>
  <LinksUpToDate>false</LinksUpToDate>
  <CharactersWithSpaces>10331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Chandrika Worrall, Vodafone</dc:creator>
  <cp:keywords/>
  <dc:description/>
  <cp:lastModifiedBy>Diogo Martins, Vodafone</cp:lastModifiedBy>
  <cp:revision>3</cp:revision>
  <dcterms:created xsi:type="dcterms:W3CDTF">2023-02-17T11:04:00Z</dcterms:created>
  <dcterms:modified xsi:type="dcterms:W3CDTF">2023-02-17T11:08:00Z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359f705-2ba0-454b-9cfc-6ce5bcaac040_Enabled">
    <vt:lpwstr>true</vt:lpwstr>
  </property>
  <property fmtid="{D5CDD505-2E9C-101B-9397-08002B2CF9AE}" pid="3" name="MSIP_Label_0359f705-2ba0-454b-9cfc-6ce5bcaac040_SetDate">
    <vt:lpwstr>2023-02-17T11:04:19Z</vt:lpwstr>
  </property>
  <property fmtid="{D5CDD505-2E9C-101B-9397-08002B2CF9AE}" pid="4" name="MSIP_Label_0359f705-2ba0-454b-9cfc-6ce5bcaac040_Method">
    <vt:lpwstr>Standard</vt:lpwstr>
  </property>
  <property fmtid="{D5CDD505-2E9C-101B-9397-08002B2CF9AE}" pid="5" name="MSIP_Label_0359f705-2ba0-454b-9cfc-6ce5bcaac040_Name">
    <vt:lpwstr>0359f705-2ba0-454b-9cfc-6ce5bcaac040</vt:lpwstr>
  </property>
  <property fmtid="{D5CDD505-2E9C-101B-9397-08002B2CF9AE}" pid="6" name="MSIP_Label_0359f705-2ba0-454b-9cfc-6ce5bcaac040_SiteId">
    <vt:lpwstr>68283f3b-8487-4c86-adb3-a5228f18b893</vt:lpwstr>
  </property>
  <property fmtid="{D5CDD505-2E9C-101B-9397-08002B2CF9AE}" pid="7" name="MSIP_Label_0359f705-2ba0-454b-9cfc-6ce5bcaac040_ActionId">
    <vt:lpwstr>cfa1a1fa-c15a-4a21-a2c2-7de2b8c31a12</vt:lpwstr>
  </property>
  <property fmtid="{D5CDD505-2E9C-101B-9397-08002B2CF9AE}" pid="8" name="MSIP_Label_0359f705-2ba0-454b-9cfc-6ce5bcaac040_ContentBits">
    <vt:lpwstr>2</vt:lpwstr>
  </property>
</Properties>
</file>